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4F5F5" w14:textId="77777777" w:rsidR="00AC1E53" w:rsidRDefault="00AC1E53">
      <w:pPr>
        <w:jc w:val="center"/>
        <w:rPr>
          <w:b/>
        </w:rPr>
      </w:pPr>
      <w:bookmarkStart w:id="0" w:name="_GoBack"/>
      <w:bookmarkEnd w:id="0"/>
    </w:p>
    <w:p w14:paraId="0FD422BD" w14:textId="77777777" w:rsidR="006B2DE7" w:rsidRDefault="00635311" w:rsidP="00635311">
      <w:pPr>
        <w:jc w:val="center"/>
        <w:rPr>
          <w:b/>
        </w:rPr>
      </w:pPr>
      <w:r>
        <w:rPr>
          <w:b/>
        </w:rPr>
        <w:t>NGO Submission to the</w:t>
      </w:r>
      <w:r w:rsidR="00113872">
        <w:rPr>
          <w:b/>
        </w:rPr>
        <w:t xml:space="preserve"> Committee </w:t>
      </w:r>
      <w:r>
        <w:rPr>
          <w:b/>
        </w:rPr>
        <w:t xml:space="preserve">on Economic, Social and Cultural Rights </w:t>
      </w:r>
      <w:r w:rsidR="00113872">
        <w:rPr>
          <w:b/>
        </w:rPr>
        <w:t>Working Group</w:t>
      </w:r>
      <w:r>
        <w:rPr>
          <w:b/>
        </w:rPr>
        <w:t xml:space="preserve"> </w:t>
      </w:r>
      <w:r w:rsidR="00113872">
        <w:rPr>
          <w:b/>
        </w:rPr>
        <w:t xml:space="preserve">for Colombia </w:t>
      </w:r>
    </w:p>
    <w:p w14:paraId="0FB27890" w14:textId="7999E3F8" w:rsidR="00AC1E53" w:rsidRPr="006B2DE7" w:rsidRDefault="006B2DE7" w:rsidP="00635311">
      <w:pPr>
        <w:jc w:val="center"/>
      </w:pPr>
      <w:r w:rsidRPr="006B2DE7">
        <w:t xml:space="preserve">August 27, </w:t>
      </w:r>
      <w:r w:rsidR="00113872" w:rsidRPr="006B2DE7">
        <w:t>2017</w:t>
      </w:r>
    </w:p>
    <w:p w14:paraId="4CC7D6CC" w14:textId="77777777" w:rsidR="00AC1E53" w:rsidRDefault="00AC1E53"/>
    <w:p w14:paraId="29882993" w14:textId="3D34D963" w:rsidR="005E315B" w:rsidRDefault="00113872" w:rsidP="00F0673F">
      <w:pPr>
        <w:jc w:val="both"/>
      </w:pPr>
      <w:r>
        <w:t xml:space="preserve">Partners: </w:t>
      </w:r>
      <w:proofErr w:type="spellStart"/>
      <w:r>
        <w:t>Colectiva</w:t>
      </w:r>
      <w:proofErr w:type="spellEnd"/>
      <w:r>
        <w:t xml:space="preserve"> </w:t>
      </w:r>
      <w:proofErr w:type="spellStart"/>
      <w:r>
        <w:t>Polimorfas</w:t>
      </w:r>
      <w:proofErr w:type="spellEnd"/>
      <w:r>
        <w:t xml:space="preserve">, </w:t>
      </w:r>
      <w:proofErr w:type="spellStart"/>
      <w:r>
        <w:t>Asociación</w:t>
      </w:r>
      <w:proofErr w:type="spellEnd"/>
      <w:r>
        <w:t xml:space="preserve"> </w:t>
      </w:r>
      <w:proofErr w:type="spellStart"/>
      <w:r>
        <w:t>Probienestar</w:t>
      </w:r>
      <w:proofErr w:type="spellEnd"/>
      <w:r>
        <w:t xml:space="preserve"> de la </w:t>
      </w:r>
      <w:proofErr w:type="spellStart"/>
      <w:r>
        <w:t>Familia</w:t>
      </w:r>
      <w:proofErr w:type="spellEnd"/>
      <w:r>
        <w:t xml:space="preserve"> </w:t>
      </w:r>
      <w:proofErr w:type="spellStart"/>
      <w:r>
        <w:t>Colombiana</w:t>
      </w:r>
      <w:proofErr w:type="spellEnd"/>
      <w:r>
        <w:t xml:space="preserve"> (</w:t>
      </w:r>
      <w:proofErr w:type="spellStart"/>
      <w:r>
        <w:t>Profamilia</w:t>
      </w:r>
      <w:proofErr w:type="spellEnd"/>
      <w:r>
        <w:t>), and Women Enabled International (WEI)</w:t>
      </w:r>
      <w:r w:rsidR="005E315B">
        <w:rPr>
          <w:vertAlign w:val="superscript"/>
        </w:rPr>
        <w:endnoteReference w:id="1"/>
      </w:r>
      <w:r w:rsidR="005E315B">
        <w:t xml:space="preserve"> </w:t>
      </w:r>
    </w:p>
    <w:p w14:paraId="67AFC198" w14:textId="77777777" w:rsidR="005E315B" w:rsidRDefault="005E315B" w:rsidP="00F0673F">
      <w:pPr>
        <w:jc w:val="both"/>
      </w:pPr>
    </w:p>
    <w:p w14:paraId="5CA2D236" w14:textId="77777777" w:rsidR="005E315B" w:rsidRDefault="005E315B" w:rsidP="00F0673F">
      <w:pPr>
        <w:widowControl w:val="0"/>
        <w:jc w:val="both"/>
      </w:pPr>
      <w:r>
        <w:t>Contact information:</w:t>
      </w:r>
    </w:p>
    <w:p w14:paraId="301B1E3E" w14:textId="36E43CCB" w:rsidR="005E315B" w:rsidRDefault="005E315B" w:rsidP="00F0673F">
      <w:pPr>
        <w:widowControl w:val="0"/>
        <w:numPr>
          <w:ilvl w:val="0"/>
          <w:numId w:val="1"/>
        </w:numPr>
        <w:ind w:hanging="360"/>
        <w:jc w:val="both"/>
      </w:pPr>
      <w:r>
        <w:t>Natalia Moreno,</w:t>
      </w:r>
      <w:r w:rsidR="00635311">
        <w:t xml:space="preserve"> Spokeswoman,</w:t>
      </w:r>
      <w:r>
        <w:t xml:space="preserve"> </w:t>
      </w:r>
      <w:proofErr w:type="spellStart"/>
      <w:r>
        <w:t>Colectiva</w:t>
      </w:r>
      <w:proofErr w:type="spellEnd"/>
      <w:r>
        <w:t xml:space="preserve"> </w:t>
      </w:r>
      <w:proofErr w:type="spellStart"/>
      <w:r>
        <w:t>Polimorfas</w:t>
      </w:r>
      <w:proofErr w:type="spellEnd"/>
      <w:r>
        <w:t xml:space="preserve">, </w:t>
      </w:r>
      <w:hyperlink r:id="rId9">
        <w:r>
          <w:rPr>
            <w:color w:val="0563C1"/>
            <w:u w:val="single"/>
          </w:rPr>
          <w:t>colectivapolimorfas@gmail.com</w:t>
        </w:r>
      </w:hyperlink>
      <w:r>
        <w:t xml:space="preserve">  </w:t>
      </w:r>
    </w:p>
    <w:p w14:paraId="1B63F097" w14:textId="1C16EF3A" w:rsidR="005E315B" w:rsidRDefault="000C2801" w:rsidP="00F0673F">
      <w:pPr>
        <w:widowControl w:val="0"/>
        <w:numPr>
          <w:ilvl w:val="0"/>
          <w:numId w:val="1"/>
        </w:numPr>
        <w:ind w:hanging="360"/>
        <w:jc w:val="both"/>
      </w:pPr>
      <w:r>
        <w:t xml:space="preserve">Marta </w:t>
      </w:r>
      <w:proofErr w:type="spellStart"/>
      <w:r>
        <w:t>Royo</w:t>
      </w:r>
      <w:proofErr w:type="spellEnd"/>
      <w:r w:rsidR="005E315B">
        <w:t>,</w:t>
      </w:r>
      <w:r>
        <w:t xml:space="preserve"> Executive Director,</w:t>
      </w:r>
      <w:r w:rsidR="005E315B">
        <w:t xml:space="preserve"> </w:t>
      </w:r>
      <w:proofErr w:type="spellStart"/>
      <w:r w:rsidR="005E315B">
        <w:t>Profamilia</w:t>
      </w:r>
      <w:proofErr w:type="spellEnd"/>
      <w:r w:rsidR="005E315B">
        <w:t xml:space="preserve">, </w:t>
      </w:r>
      <w:hyperlink r:id="rId10">
        <w:r w:rsidR="00635311" w:rsidRPr="00635311">
          <w:rPr>
            <w:color w:val="0563C1"/>
            <w:u w:val="single"/>
          </w:rPr>
          <w:t>mroyo</w:t>
        </w:r>
        <w:r w:rsidR="005E315B" w:rsidRPr="00635311">
          <w:rPr>
            <w:color w:val="0563C1"/>
            <w:u w:val="single"/>
          </w:rPr>
          <w:t>@profamilia.org.co</w:t>
        </w:r>
      </w:hyperlink>
      <w:r w:rsidR="005E315B">
        <w:t xml:space="preserve"> </w:t>
      </w:r>
    </w:p>
    <w:p w14:paraId="77C2E274" w14:textId="558E0FA4" w:rsidR="005E315B" w:rsidRPr="00DF1D87" w:rsidRDefault="001D0466" w:rsidP="00F0673F">
      <w:pPr>
        <w:widowControl w:val="0"/>
        <w:numPr>
          <w:ilvl w:val="0"/>
          <w:numId w:val="1"/>
        </w:numPr>
        <w:ind w:hanging="360"/>
        <w:jc w:val="both"/>
        <w:rPr>
          <w:i/>
        </w:rPr>
      </w:pPr>
      <w:r>
        <w:t>Stephanie Ortoleva</w:t>
      </w:r>
      <w:r w:rsidR="006B2DE7">
        <w:t xml:space="preserve">, </w:t>
      </w:r>
      <w:r w:rsidR="005E315B">
        <w:t>Preside</w:t>
      </w:r>
      <w:r w:rsidR="006B2DE7">
        <w:t xml:space="preserve">nt &amp; Legal Director, WEI, </w:t>
      </w:r>
      <w:hyperlink r:id="rId11" w:history="1">
        <w:r w:rsidR="006B2DE7">
          <w:rPr>
            <w:rStyle w:val="Hyperlink"/>
          </w:rPr>
          <w:t>P</w:t>
        </w:r>
        <w:r w:rsidR="006B2DE7" w:rsidRPr="002A2ED5">
          <w:rPr>
            <w:rStyle w:val="Hyperlink"/>
          </w:rPr>
          <w:t>resident@WomenEnabled.org</w:t>
        </w:r>
      </w:hyperlink>
      <w:r w:rsidR="006B2DE7">
        <w:t xml:space="preserve"> </w:t>
      </w:r>
      <w:r w:rsidR="006B2DE7" w:rsidRPr="006B2DE7">
        <w:rPr>
          <w:u w:val="single"/>
        </w:rPr>
        <w:t xml:space="preserve">  </w:t>
      </w:r>
      <w:r w:rsidR="006B2DE7">
        <w:rPr>
          <w:u w:val="single"/>
        </w:rPr>
        <w:t xml:space="preserve"> </w:t>
      </w:r>
    </w:p>
    <w:p w14:paraId="64118FF1" w14:textId="77777777" w:rsidR="005E315B" w:rsidRDefault="005E315B">
      <w:pPr>
        <w:widowControl w:val="0"/>
        <w:ind w:left="720"/>
      </w:pPr>
    </w:p>
    <w:p w14:paraId="10CC0E82" w14:textId="77777777" w:rsidR="005E315B" w:rsidRDefault="005E315B" w:rsidP="00F0673F">
      <w:pPr>
        <w:jc w:val="both"/>
      </w:pPr>
      <w:proofErr w:type="spellStart"/>
      <w:r>
        <w:t>Colectiva</w:t>
      </w:r>
      <w:proofErr w:type="spellEnd"/>
      <w:r>
        <w:t xml:space="preserve"> </w:t>
      </w:r>
      <w:proofErr w:type="spellStart"/>
      <w:r>
        <w:t>Polimorfas</w:t>
      </w:r>
      <w:proofErr w:type="spellEnd"/>
      <w:r>
        <w:t xml:space="preserve">, </w:t>
      </w:r>
      <w:proofErr w:type="spellStart"/>
      <w:r>
        <w:t>Profamilia</w:t>
      </w:r>
      <w:proofErr w:type="spellEnd"/>
      <w:r>
        <w:t xml:space="preserve">, and Women Enabled International (WEI) jointly submit this report to the Committee on Economic, Social and Cultural Rights (ESCR Committee or the Committee) regarding violations of Colombia’s obligations under the International Covenant on Economic, Social, and Cultural Rights as they pertain to the sexual and reproductive rights of women and girls with disabilities.  </w:t>
      </w:r>
    </w:p>
    <w:p w14:paraId="7F5551A9" w14:textId="77777777" w:rsidR="005E315B" w:rsidRDefault="005E315B" w:rsidP="00F0673F">
      <w:pPr>
        <w:jc w:val="both"/>
      </w:pPr>
    </w:p>
    <w:p w14:paraId="1EDCAF2B" w14:textId="7C0A6159" w:rsidR="00614B89" w:rsidRDefault="005E315B" w:rsidP="00F0673F">
      <w:pPr>
        <w:jc w:val="both"/>
      </w:pPr>
      <w:r>
        <w:t xml:space="preserve">The </w:t>
      </w:r>
      <w:proofErr w:type="spellStart"/>
      <w:r>
        <w:rPr>
          <w:b/>
        </w:rPr>
        <w:t>Colectiva</w:t>
      </w:r>
      <w:proofErr w:type="spellEnd"/>
      <w:r>
        <w:rPr>
          <w:b/>
        </w:rPr>
        <w:t xml:space="preserve"> </w:t>
      </w:r>
      <w:proofErr w:type="spellStart"/>
      <w:r>
        <w:rPr>
          <w:b/>
        </w:rPr>
        <w:t>Polimorfas</w:t>
      </w:r>
      <w:proofErr w:type="spellEnd"/>
      <w:r>
        <w:t xml:space="preserve"> is created as a support group for women in functional diversity/ disability to make the violence they face visible. In this meeting space, they deal with subjects, such as legal capacity, sexual and reproductive rights, responsible motherhood, diverse sexual orientation, and gender violence, among others. As a Collective they defend, protect and promote the human rights of women and girls with disabilities. </w:t>
      </w:r>
      <w:proofErr w:type="spellStart"/>
      <w:r>
        <w:rPr>
          <w:b/>
        </w:rPr>
        <w:t>Profamilia</w:t>
      </w:r>
      <w:proofErr w:type="spellEnd"/>
      <w:r>
        <w:t xml:space="preserve"> is a private non-profit organization specializing in sexual health and reproductive health.  </w:t>
      </w:r>
      <w:proofErr w:type="spellStart"/>
      <w:r>
        <w:t>Profamilia</w:t>
      </w:r>
      <w:proofErr w:type="spellEnd"/>
      <w:r>
        <w:t xml:space="preserve"> offers medical services, education, products and develops research and projects with a social focus using advocacy strategies, and it is the largest provider of sexual and reproductive health services in Colombia, with 28 clinics in different cities around the country.  For 52 years, </w:t>
      </w:r>
      <w:proofErr w:type="spellStart"/>
      <w:r>
        <w:t>Profamilia</w:t>
      </w:r>
      <w:proofErr w:type="spellEnd"/>
      <w:r>
        <w:t xml:space="preserve"> has been characterized by being a service provider with a rights-based approach, emphasizing the guarantee of sexual and reproductive rights of all Colombians. </w:t>
      </w:r>
      <w:r>
        <w:rPr>
          <w:b/>
        </w:rPr>
        <w:t>WEI</w:t>
      </w:r>
      <w:r>
        <w:t xml:space="preserve"> </w:t>
      </w:r>
      <w:r>
        <w:rPr>
          <w:highlight w:val="white"/>
        </w:rPr>
        <w:t>Women Enabled International (WEI) works at the intersection of women’s rights and disability rights to advance the rights of women and girls with disabilities around the world. Through advocacy and education, WEI increases international attention to--and strengthens international human rights standards on--issues such as violence against women, sexual and reproductive health and rights, access to justice, education, legal capacity, and humanitarian emergencies. Working in collaboration with women with disabilities rights organizations and women’s rights organizations worldwide, WEI fosters cooperation across movements to improve understanding and develop cross-cutting advocacy strategies to realize the rights of all women and girls.</w:t>
      </w:r>
    </w:p>
    <w:p w14:paraId="1512E4CF" w14:textId="413A5DDD" w:rsidR="005E315B" w:rsidRPr="00F2747C" w:rsidRDefault="005E315B" w:rsidP="00F0673F">
      <w:pPr>
        <w:pStyle w:val="Heading1"/>
        <w:numPr>
          <w:ilvl w:val="0"/>
          <w:numId w:val="30"/>
        </w:numPr>
        <w:rPr>
          <w:sz w:val="24"/>
          <w:szCs w:val="24"/>
        </w:rPr>
      </w:pPr>
      <w:r w:rsidRPr="00620ECE">
        <w:rPr>
          <w:sz w:val="24"/>
          <w:szCs w:val="24"/>
        </w:rPr>
        <w:lastRenderedPageBreak/>
        <w:t>Introduction</w:t>
      </w:r>
    </w:p>
    <w:p w14:paraId="10E09BBD" w14:textId="32F6B56A" w:rsidR="005E315B" w:rsidRDefault="005E315B" w:rsidP="00F0673F">
      <w:pPr>
        <w:jc w:val="both"/>
      </w:pPr>
      <w:r>
        <w:t>According to the World Health Organization (WHO) and the World Bank, approximately 15% of people worldwide are persons with disabilities, and women with disabilities account for 19.2% of the total population of women around the world.</w:t>
      </w:r>
      <w:r>
        <w:rPr>
          <w:vertAlign w:val="superscript"/>
        </w:rPr>
        <w:endnoteReference w:id="2"/>
      </w:r>
      <w:r>
        <w:t xml:space="preserve"> In Colombia, the Ministry of Health is in charge of the National Registry for Persons with Disabilities, </w:t>
      </w:r>
      <w:r w:rsidR="00A67F66">
        <w:t>which states that there are 1,326,</w:t>
      </w:r>
      <w:r>
        <w:t>905 persons with disabilities registered</w:t>
      </w:r>
      <w:r w:rsidR="00A67F66">
        <w:t xml:space="preserve"> in the country</w:t>
      </w:r>
      <w:r>
        <w:t xml:space="preserve"> </w:t>
      </w:r>
      <w:r w:rsidR="00FC676E">
        <w:t>as of</w:t>
      </w:r>
      <w:r>
        <w:t xml:space="preserve"> July 31, 2017. This accounts for about 2.7% of the </w:t>
      </w:r>
      <w:r w:rsidR="00A67F66">
        <w:t>estimated</w:t>
      </w:r>
      <w:r w:rsidR="00FC676E">
        <w:t xml:space="preserve"> </w:t>
      </w:r>
      <w:r w:rsidR="00A67F66">
        <w:t xml:space="preserve">total </w:t>
      </w:r>
      <w:r w:rsidR="00FC676E">
        <w:t>population of Colombia</w:t>
      </w:r>
      <w:r>
        <w:t xml:space="preserve"> </w:t>
      </w:r>
      <w:r w:rsidR="00FC676E">
        <w:t>on</w:t>
      </w:r>
      <w:r>
        <w:t xml:space="preserve"> that da</w:t>
      </w:r>
      <w:r w:rsidR="00FC676E">
        <w:t>te</w:t>
      </w:r>
      <w:r w:rsidR="00A67F66">
        <w:t>.</w:t>
      </w:r>
      <w:r>
        <w:rPr>
          <w:vertAlign w:val="superscript"/>
        </w:rPr>
        <w:endnoteReference w:id="3"/>
      </w:r>
      <w:r>
        <w:t xml:space="preserve"> </w:t>
      </w:r>
      <w:r w:rsidR="00A67F66">
        <w:t>A</w:t>
      </w:r>
      <w:r>
        <w:t>ccording to the Ministry of Health and the Presidential Advisory Office for Equity of Women, about 53% of Colombians with disabilities are women, roughly 25% of whom live in Bogotá</w:t>
      </w:r>
      <w:r w:rsidR="00FC676E">
        <w:t>, Colombia</w:t>
      </w:r>
      <w:r>
        <w:t>.</w:t>
      </w:r>
      <w:r>
        <w:rPr>
          <w:vertAlign w:val="superscript"/>
        </w:rPr>
        <w:endnoteReference w:id="4"/>
      </w:r>
      <w:r>
        <w:t xml:space="preserve"> </w:t>
      </w:r>
    </w:p>
    <w:p w14:paraId="13C36087" w14:textId="77777777" w:rsidR="005E315B" w:rsidRDefault="005E315B" w:rsidP="00F0673F">
      <w:pPr>
        <w:jc w:val="both"/>
      </w:pPr>
    </w:p>
    <w:p w14:paraId="3DF91BBC" w14:textId="62CA49B6" w:rsidR="005E315B" w:rsidRPr="00F2747C" w:rsidRDefault="005E315B" w:rsidP="00F0673F">
      <w:pPr>
        <w:jc w:val="both"/>
        <w:rPr>
          <w:szCs w:val="22"/>
        </w:rPr>
      </w:pPr>
      <w:r>
        <w:t>W</w:t>
      </w:r>
      <w:r w:rsidRPr="008B0B38">
        <w:t xml:space="preserve">omen with disabilities in Colombia </w:t>
      </w:r>
      <w:r>
        <w:t xml:space="preserve">encounter significant barriers </w:t>
      </w:r>
      <w:r w:rsidR="00FC676E">
        <w:t>in</w:t>
      </w:r>
      <w:r w:rsidRPr="008B0B38">
        <w:t xml:space="preserve"> </w:t>
      </w:r>
      <w:r w:rsidR="006F5600">
        <w:t>realizing their economic, social, and cultural (ESC) rights</w:t>
      </w:r>
      <w:r w:rsidRPr="008B0B38">
        <w:t>.</w:t>
      </w:r>
      <w:r w:rsidRPr="008B0B38">
        <w:rPr>
          <w:rStyle w:val="EndnoteReference"/>
          <w:rFonts w:eastAsia="Cambria"/>
        </w:rPr>
        <w:endnoteReference w:id="5"/>
      </w:r>
      <w:r w:rsidRPr="008B0B38">
        <w:t xml:space="preserve"> </w:t>
      </w:r>
      <w:r>
        <w:t>In particular</w:t>
      </w:r>
      <w:r w:rsidRPr="008B0B38">
        <w:t>, Colombia</w:t>
      </w:r>
      <w:r>
        <w:t xml:space="preserve">’s guardianship law severely limits the ability of women with disabilities to make autonomous decisions about their lives, infringing core </w:t>
      </w:r>
      <w:r w:rsidR="006F5600">
        <w:t>ESC</w:t>
      </w:r>
      <w:r>
        <w:t xml:space="preserve"> rights guaranteed by the International Covenant on Economic, Social, and Cultural Rights (ICESCR)</w:t>
      </w:r>
      <w:r w:rsidRPr="008B0B38">
        <w:t>.</w:t>
      </w:r>
      <w:r>
        <w:t xml:space="preserve"> Indeed, in its most recent concluding observations to Colombia, the </w:t>
      </w:r>
      <w:r w:rsidR="004D33A3">
        <w:t>Committee on the Rights of Persons with Disabilities (</w:t>
      </w:r>
      <w:r w:rsidRPr="008B0B38">
        <w:t>CRPD Committee</w:t>
      </w:r>
      <w:r w:rsidR="004D33A3">
        <w:t>)</w:t>
      </w:r>
      <w:r w:rsidRPr="008B0B38">
        <w:t xml:space="preserve"> </w:t>
      </w:r>
      <w:r>
        <w:t xml:space="preserve">highlighted </w:t>
      </w:r>
      <w:r w:rsidR="00FC676E">
        <w:t xml:space="preserve">that </w:t>
      </w:r>
      <w:r>
        <w:t>Colombia’s failure to recognize the legal capacity of persons with disabilities infringed on both access to justice and the ability of persons with disabilities to make free and informed decisions, including with respect to health, sexuality, and education.</w:t>
      </w:r>
      <w:r w:rsidRPr="008B0B38">
        <w:rPr>
          <w:rStyle w:val="EndnoteReference"/>
          <w:rFonts w:eastAsia="Cambria"/>
        </w:rPr>
        <w:endnoteReference w:id="6"/>
      </w:r>
      <w:r>
        <w:t xml:space="preserve"> As </w:t>
      </w:r>
      <w:r w:rsidR="00FC676E">
        <w:t>the ESCR</w:t>
      </w:r>
      <w:r>
        <w:t xml:space="preserve"> Committee recognized in its recent General Comment No. 22, the removal of laws and policies that create barriers to access to sexual and reproductive health services—such as laws that require third-party authorization—constitutes a core component of a State’s obligation to respect the right to sexual and reproductive health. Colombia’s guardianship law poses just such a barrier—not only preventing women with disabilities from exercising autonomy with respect to their sexual and reproductive health, but also in a number of </w:t>
      </w:r>
      <w:r w:rsidR="00FC676E">
        <w:t xml:space="preserve">other </w:t>
      </w:r>
      <w:r>
        <w:t>areas of their lives. This submission outlines the harmful effects</w:t>
      </w:r>
      <w:r w:rsidR="00F0673F">
        <w:t xml:space="preserve"> of Colombia’s guardianship law</w:t>
      </w:r>
      <w:r>
        <w:t xml:space="preserve"> in violation of the government’s obligations under the ICESCR. </w:t>
      </w:r>
      <w:r w:rsidR="007A04EF">
        <w:t xml:space="preserve">The submission </w:t>
      </w:r>
      <w:r w:rsidR="00F2747C">
        <w:t>then</w:t>
      </w:r>
      <w:r w:rsidR="007A04EF">
        <w:t xml:space="preserve"> identifies other areas where Colombian women and girls with disabilities encounter barriers to the realization of their </w:t>
      </w:r>
      <w:r w:rsidR="00F2747C">
        <w:t>ESC rights.</w:t>
      </w:r>
      <w:r>
        <w:t xml:space="preserve"> The submission concludes with </w:t>
      </w:r>
      <w:r w:rsidR="00F0673F">
        <w:t>suggested</w:t>
      </w:r>
      <w:r>
        <w:t xml:space="preserve"> recommendations that this Committee could make to Colombia to </w:t>
      </w:r>
      <w:r w:rsidRPr="008B0B38">
        <w:t xml:space="preserve">provide guidance to the State to </w:t>
      </w:r>
      <w:r>
        <w:t>ensure that</w:t>
      </w:r>
      <w:r w:rsidRPr="008B0B38">
        <w:t xml:space="preserve"> its legislative and policy framework </w:t>
      </w:r>
      <w:r>
        <w:t>protects, rather than violates,</w:t>
      </w:r>
      <w:r w:rsidRPr="008B0B38">
        <w:t xml:space="preserve"> </w:t>
      </w:r>
      <w:r>
        <w:t xml:space="preserve">the ESC </w:t>
      </w:r>
      <w:r w:rsidRPr="008B0B38">
        <w:t xml:space="preserve">rights of women with disabilities. </w:t>
      </w:r>
    </w:p>
    <w:p w14:paraId="1D10F938" w14:textId="2ABB37B1" w:rsidR="005E315B" w:rsidRPr="00620ECE" w:rsidRDefault="005E315B" w:rsidP="00F0673F">
      <w:pPr>
        <w:pStyle w:val="Heading1"/>
        <w:numPr>
          <w:ilvl w:val="0"/>
          <w:numId w:val="30"/>
        </w:numPr>
        <w:rPr>
          <w:sz w:val="24"/>
          <w:szCs w:val="24"/>
        </w:rPr>
      </w:pPr>
      <w:r w:rsidRPr="00620ECE">
        <w:rPr>
          <w:sz w:val="24"/>
          <w:szCs w:val="24"/>
        </w:rPr>
        <w:t>Colombia’s guardianship law limits the legal capacity of women and girls with disabilities, exposing them to violations of their ESC rights</w:t>
      </w:r>
    </w:p>
    <w:p w14:paraId="2A094CEC" w14:textId="0D83DA05" w:rsidR="00F2747C" w:rsidRPr="00F2747C" w:rsidRDefault="00620ECE" w:rsidP="00F0673F">
      <w:pPr>
        <w:pStyle w:val="Heading2"/>
        <w:numPr>
          <w:ilvl w:val="1"/>
          <w:numId w:val="20"/>
        </w:numPr>
        <w:spacing w:before="120"/>
        <w:rPr>
          <w:color w:val="000000" w:themeColor="text1"/>
          <w:sz w:val="24"/>
          <w:szCs w:val="24"/>
        </w:rPr>
      </w:pPr>
      <w:r w:rsidRPr="00620ECE">
        <w:rPr>
          <w:color w:val="000000" w:themeColor="text1"/>
          <w:sz w:val="24"/>
          <w:szCs w:val="24"/>
        </w:rPr>
        <w:t xml:space="preserve">Guardianship </w:t>
      </w:r>
      <w:r>
        <w:rPr>
          <w:color w:val="000000" w:themeColor="text1"/>
          <w:sz w:val="24"/>
          <w:szCs w:val="24"/>
        </w:rPr>
        <w:t>discriminates against women with disabilities and denies them</w:t>
      </w:r>
      <w:r w:rsidRPr="00620ECE">
        <w:rPr>
          <w:color w:val="000000" w:themeColor="text1"/>
          <w:sz w:val="24"/>
          <w:szCs w:val="24"/>
        </w:rPr>
        <w:t xml:space="preserve"> legal capacity </w:t>
      </w:r>
    </w:p>
    <w:p w14:paraId="13DA6BD6" w14:textId="01D91D06" w:rsidR="00620ECE" w:rsidRPr="00F2747C" w:rsidRDefault="00620ECE" w:rsidP="00F0673F">
      <w:pPr>
        <w:pStyle w:val="ListParagraph"/>
        <w:numPr>
          <w:ilvl w:val="2"/>
          <w:numId w:val="20"/>
        </w:numPr>
        <w:rPr>
          <w:sz w:val="24"/>
          <w:szCs w:val="24"/>
          <w:u w:val="single"/>
        </w:rPr>
      </w:pPr>
      <w:r w:rsidRPr="00F2747C">
        <w:rPr>
          <w:sz w:val="24"/>
          <w:szCs w:val="24"/>
          <w:u w:val="single"/>
        </w:rPr>
        <w:t>Law 1306-2009</w:t>
      </w:r>
    </w:p>
    <w:p w14:paraId="164FA8BE" w14:textId="77777777" w:rsidR="00F2747C" w:rsidRPr="00F2747C" w:rsidRDefault="00F2747C" w:rsidP="00F0673F">
      <w:pPr>
        <w:pStyle w:val="ListParagraph"/>
        <w:ind w:left="1440"/>
        <w:rPr>
          <w:i/>
          <w:sz w:val="24"/>
          <w:szCs w:val="24"/>
        </w:rPr>
      </w:pPr>
    </w:p>
    <w:p w14:paraId="7E0AA296" w14:textId="32F78C32" w:rsidR="005E315B" w:rsidRDefault="005E315B" w:rsidP="00F0673F">
      <w:pPr>
        <w:widowControl w:val="0"/>
        <w:jc w:val="both"/>
        <w:rPr>
          <w:shd w:val="clear" w:color="auto" w:fill="FF9900"/>
        </w:rPr>
      </w:pPr>
      <w:r>
        <w:t xml:space="preserve">Colombia’s Law 1306 of 2009 (1306-2009, also referred to as “guardianship law” for the purposes of this submission) allows plenary guardianship over a person with a disability through </w:t>
      </w:r>
      <w:r w:rsidR="00F0673F">
        <w:t>a</w:t>
      </w:r>
      <w:r>
        <w:t xml:space="preserve"> judicial process called “interdiction.” This law allows full guardianship over persons with “absolute mental disabilities” and permits partial guardianship over persons with “relative mental disabilities.”</w:t>
      </w:r>
      <w:r>
        <w:rPr>
          <w:vertAlign w:val="superscript"/>
        </w:rPr>
        <w:endnoteReference w:id="7"/>
      </w:r>
      <w:r>
        <w:t xml:space="preserve"> In the context of this law, “absolute” refers to “persons ‘suffering from a severe or deep affection or pathology regarding learning, behavior or mental deterioration,’” while “relative” refers to individuals “with behavioral deficiencies, wasteful administration conduct, or </w:t>
      </w:r>
      <w:r>
        <w:lastRenderedPageBreak/>
        <w:t>business immaturity who may put their own property in risk”</w:t>
      </w:r>
      <w:r>
        <w:rPr>
          <w:vertAlign w:val="superscript"/>
        </w:rPr>
        <w:endnoteReference w:id="8"/>
      </w:r>
      <w:r>
        <w:t xml:space="preserve"> Although the law describes guardianship as only a “protective measure,” in reality it is routinely used to justify substituted decision-making on behalf of women with disabilities, often without their voluntary or informed consent. Once a guardian has obtained an interdiction order, the guardian then has the power to control various facets of the individual’s life, including, e.g., </w:t>
      </w:r>
      <w:r w:rsidR="00FC676E">
        <w:t>authority</w:t>
      </w:r>
      <w:r>
        <w:t xml:space="preserve"> to seek a court order for </w:t>
      </w:r>
      <w:r w:rsidRPr="00F2747C">
        <w:t>sterilization of the person with a disability or to institutionalize the person permanently</w:t>
      </w:r>
      <w:r w:rsidR="00F2747C" w:rsidRPr="00F2747C">
        <w:t xml:space="preserve"> (a guardian, alone, can authorize institutionalization for periods up to two months in length).</w:t>
      </w:r>
      <w:r w:rsidR="00F2747C" w:rsidRPr="00F2747C">
        <w:rPr>
          <w:rStyle w:val="EndnoteReference"/>
        </w:rPr>
        <w:endnoteReference w:id="9"/>
      </w:r>
      <w:r w:rsidR="00F2747C" w:rsidRPr="00F2747C">
        <w:t xml:space="preserve"> Decisions regarding family law issues (</w:t>
      </w:r>
      <w:r w:rsidR="00F0673F">
        <w:t>such as marriage or</w:t>
      </w:r>
      <w:r w:rsidR="00F2747C" w:rsidRPr="00F2747C">
        <w:t xml:space="preserve"> adoption) and sterilization must be requested by the guardian</w:t>
      </w:r>
      <w:r w:rsidR="00F2747C" w:rsidRPr="00F2747C">
        <w:rPr>
          <w:rStyle w:val="EndnoteReference"/>
        </w:rPr>
        <w:endnoteReference w:id="10"/>
      </w:r>
      <w:r w:rsidR="00F2747C" w:rsidRPr="00F2747C">
        <w:t xml:space="preserve"> and authorized by a judge. A</w:t>
      </w:r>
      <w:r w:rsidRPr="00F2747C">
        <w:t xml:space="preserve"> person under guardianship </w:t>
      </w:r>
      <w:r w:rsidR="00F2747C" w:rsidRPr="00F2747C">
        <w:t xml:space="preserve">also </w:t>
      </w:r>
      <w:r w:rsidRPr="00F2747C">
        <w:t>loses her right to vote.</w:t>
      </w:r>
      <w:r w:rsidRPr="00F2747C">
        <w:rPr>
          <w:vertAlign w:val="superscript"/>
        </w:rPr>
        <w:endnoteReference w:id="11"/>
      </w:r>
      <w:r w:rsidR="00F2747C">
        <w:t xml:space="preserve"> </w:t>
      </w:r>
    </w:p>
    <w:p w14:paraId="790C48B5" w14:textId="77777777" w:rsidR="005E315B" w:rsidRDefault="005E315B" w:rsidP="00F0673F">
      <w:pPr>
        <w:widowControl w:val="0"/>
        <w:jc w:val="both"/>
        <w:rPr>
          <w:shd w:val="clear" w:color="auto" w:fill="FF9900"/>
        </w:rPr>
      </w:pPr>
    </w:p>
    <w:p w14:paraId="2316F757" w14:textId="4D969D1E" w:rsidR="005E315B" w:rsidRDefault="005E315B" w:rsidP="00F0673F">
      <w:pPr>
        <w:widowControl w:val="0"/>
        <w:jc w:val="both"/>
      </w:pPr>
      <w:r>
        <w:t>Given the severe restrictions that Law 1306-2009 places on the personal autonomy of persons with disabilities, this law acts as one of the biggest obstacles for equity, equality, and the full realization of fundamental rights for people with disabilities in Colombia. Yet, people with disabilities who are under plenary guardianship are not able to challenge this order; plenary guardian</w:t>
      </w:r>
      <w:r w:rsidR="00F0673F">
        <w:t>ship is considered irreversible</w:t>
      </w:r>
      <w:r>
        <w:t xml:space="preserve"> since the threshold to reverse it is the “complete curing” of the disability.</w:t>
      </w:r>
      <w:r w:rsidR="00542CA5">
        <w:rPr>
          <w:rStyle w:val="EndnoteReference"/>
        </w:rPr>
        <w:endnoteReference w:id="12"/>
      </w:r>
      <w:r>
        <w:t xml:space="preserve"> Moreover, since they are seen as “legally incapable,” people under plenary guardianship are not allowed to give testimony in court,</w:t>
      </w:r>
      <w:r w:rsidR="00F0673F">
        <w:rPr>
          <w:rStyle w:val="EndnoteReference"/>
        </w:rPr>
        <w:endnoteReference w:id="13"/>
      </w:r>
      <w:r>
        <w:t xml:space="preserve"> nor can they </w:t>
      </w:r>
      <w:r w:rsidR="00E5406E">
        <w:t>make</w:t>
      </w:r>
      <w:r>
        <w:t xml:space="preserve"> a complaint to a police officer or any public authorities.</w:t>
      </w:r>
      <w:r w:rsidR="00AB5247">
        <w:rPr>
          <w:rStyle w:val="EndnoteReference"/>
        </w:rPr>
        <w:endnoteReference w:id="14"/>
      </w:r>
    </w:p>
    <w:p w14:paraId="14FF1413" w14:textId="77777777" w:rsidR="005E315B" w:rsidRDefault="005E315B" w:rsidP="00F0673F">
      <w:pPr>
        <w:widowControl w:val="0"/>
        <w:jc w:val="both"/>
      </w:pPr>
    </w:p>
    <w:p w14:paraId="3C08D144" w14:textId="05045E2B" w:rsidR="005E315B" w:rsidRDefault="005E315B" w:rsidP="00F0673F">
      <w:pPr>
        <w:widowControl w:val="0"/>
        <w:jc w:val="both"/>
      </w:pPr>
      <w:r>
        <w:t>The government incentivizes use of this law by giving families who put their child with disabilities under this plenary guardianship more access to public benefits.</w:t>
      </w:r>
      <w:r w:rsidR="00E95F18">
        <w:rPr>
          <w:rStyle w:val="EndnoteReference"/>
        </w:rPr>
        <w:endnoteReference w:id="15"/>
      </w:r>
      <w:r>
        <w:t xml:space="preserve"> </w:t>
      </w:r>
      <w:r w:rsidR="003D44FC">
        <w:t>Under Colombian regulations, m</w:t>
      </w:r>
      <w:r>
        <w:t xml:space="preserve">edical institutions </w:t>
      </w:r>
      <w:r w:rsidR="003D44FC">
        <w:t xml:space="preserve">have </w:t>
      </w:r>
      <w:r w:rsidR="00D02E9A">
        <w:t>a</w:t>
      </w:r>
      <w:r w:rsidR="003D44FC">
        <w:t xml:space="preserve"> legal duty to start</w:t>
      </w:r>
      <w:r>
        <w:t xml:space="preserve"> interdiction to strip legal capacity from a person with disability that is in their care.</w:t>
      </w:r>
      <w:r w:rsidR="003D44FC">
        <w:rPr>
          <w:rStyle w:val="EndnoteReference"/>
        </w:rPr>
        <w:endnoteReference w:id="16"/>
      </w:r>
      <w:r>
        <w:t xml:space="preserve"> </w:t>
      </w:r>
    </w:p>
    <w:p w14:paraId="732C960B" w14:textId="77777777" w:rsidR="005E315B" w:rsidRDefault="005E315B" w:rsidP="00F0673F">
      <w:pPr>
        <w:widowControl w:val="0"/>
        <w:jc w:val="both"/>
      </w:pPr>
    </w:p>
    <w:p w14:paraId="2F358FDB" w14:textId="473ED861" w:rsidR="005E315B" w:rsidRDefault="00933F20" w:rsidP="00F0673F">
      <w:pPr>
        <w:widowControl w:val="0"/>
        <w:jc w:val="both"/>
      </w:pPr>
      <w:r>
        <w:t>T</w:t>
      </w:r>
      <w:r w:rsidR="005E315B">
        <w:t>he existence of Law 1306-2009</w:t>
      </w:r>
      <w:r>
        <w:t xml:space="preserve"> in and of itself</w:t>
      </w:r>
      <w:r w:rsidR="005E315B">
        <w:t xml:space="preserve"> contributes to pervasive stereotypes that women with disabilities—particularly those with psychosocial or intellectual disabilities—lack the capacity to make autonomous decisions. For instance, </w:t>
      </w:r>
      <w:r w:rsidR="005E315B" w:rsidRPr="00A67F66">
        <w:t>Andrea Cortés,</w:t>
      </w:r>
      <w:r w:rsidR="00C05B19">
        <w:t xml:space="preserve"> a</w:t>
      </w:r>
      <w:r w:rsidR="005E315B" w:rsidRPr="003D0EAB">
        <w:t xml:space="preserve"> member of </w:t>
      </w:r>
      <w:proofErr w:type="spellStart"/>
      <w:r w:rsidR="005E315B" w:rsidRPr="003D0EAB">
        <w:t>Colectiva</w:t>
      </w:r>
      <w:proofErr w:type="spellEnd"/>
      <w:r w:rsidR="005E315B" w:rsidRPr="003D0EAB">
        <w:t xml:space="preserve"> </w:t>
      </w:r>
      <w:proofErr w:type="spellStart"/>
      <w:r w:rsidR="005E315B" w:rsidRPr="003D0EAB">
        <w:t>Polimorfas</w:t>
      </w:r>
      <w:proofErr w:type="spellEnd"/>
      <w:r w:rsidR="005E315B" w:rsidRPr="003D0EAB">
        <w:t xml:space="preserve"> and a woman with psychosocial disability, </w:t>
      </w:r>
      <w:r w:rsidR="005E315B">
        <w:t>has been</w:t>
      </w:r>
      <w:r w:rsidR="005E315B" w:rsidRPr="003D0EAB">
        <w:t xml:space="preserve"> forcibly institutionalized</w:t>
      </w:r>
      <w:r w:rsidR="005E315B">
        <w:t xml:space="preserve"> on several occasions. A</w:t>
      </w:r>
      <w:r w:rsidR="005E315B" w:rsidRPr="003D0EAB">
        <w:t>lthough she is not under guardianship,</w:t>
      </w:r>
      <w:r w:rsidR="005E315B">
        <w:t xml:space="preserve"> on multiple occasions, she states that</w:t>
      </w:r>
      <w:r w:rsidR="005E315B" w:rsidRPr="003D0EAB">
        <w:t xml:space="preserve"> medical personnel have tried to </w:t>
      </w:r>
      <w:r>
        <w:t>overturn</w:t>
      </w:r>
      <w:r w:rsidR="005E315B" w:rsidRPr="003D0EAB">
        <w:t xml:space="preserve"> her will just because she is a patient, assuming she is unable to consent. </w:t>
      </w:r>
      <w:r w:rsidR="005E315B">
        <w:t>The first time that she was institutionalized, in 1998</w:t>
      </w:r>
      <w:r w:rsidR="005E315B" w:rsidRPr="003D0EAB">
        <w:t xml:space="preserve">, she was sexually abused by two male nurses who </w:t>
      </w:r>
      <w:r>
        <w:t>took</w:t>
      </w:r>
      <w:r w:rsidR="005E315B" w:rsidRPr="003D0EAB">
        <w:t xml:space="preserve"> advantage of the effect that strong psychiatric drugs had on her. </w:t>
      </w:r>
      <w:r w:rsidR="005E315B">
        <w:t>As a result of this experience, the n</w:t>
      </w:r>
      <w:r w:rsidR="005E315B" w:rsidRPr="003D0EAB">
        <w:t xml:space="preserve">ext time </w:t>
      </w:r>
      <w:r w:rsidR="005E315B">
        <w:t>Andrea</w:t>
      </w:r>
      <w:r w:rsidR="005E315B" w:rsidRPr="003D0EAB">
        <w:t xml:space="preserve"> was institutionalized in that same clinic</w:t>
      </w:r>
      <w:r w:rsidR="005E315B">
        <w:t>,</w:t>
      </w:r>
      <w:r w:rsidR="005E315B" w:rsidRPr="003D0EAB">
        <w:t xml:space="preserve"> she expressly requested to take baths without assistance. As retaliation</w:t>
      </w:r>
      <w:r w:rsidR="005E315B">
        <w:t>,</w:t>
      </w:r>
      <w:r w:rsidR="005E315B" w:rsidRPr="003D0EAB">
        <w:t xml:space="preserve"> </w:t>
      </w:r>
      <w:r w:rsidR="005E315B">
        <w:t>staff</w:t>
      </w:r>
      <w:r w:rsidR="005E315B" w:rsidRPr="003D0EAB">
        <w:t xml:space="preserve"> refused to </w:t>
      </w:r>
      <w:r>
        <w:t>give her</w:t>
      </w:r>
      <w:r w:rsidR="005E315B" w:rsidRPr="003D0EAB">
        <w:t xml:space="preserve"> </w:t>
      </w:r>
      <w:proofErr w:type="spellStart"/>
      <w:r w:rsidR="005E315B" w:rsidRPr="003D0EAB">
        <w:t>her</w:t>
      </w:r>
      <w:proofErr w:type="spellEnd"/>
      <w:r w:rsidR="005E315B" w:rsidRPr="003D0EAB">
        <w:t xml:space="preserve"> clothes</w:t>
      </w:r>
      <w:r>
        <w:t xml:space="preserve"> after the bath</w:t>
      </w:r>
      <w:r w:rsidR="005E315B" w:rsidRPr="003D0EAB">
        <w:t>, used physical restraints on her, overmedicated her without her consent</w:t>
      </w:r>
      <w:r>
        <w:t>,</w:t>
      </w:r>
      <w:r w:rsidR="005E315B" w:rsidRPr="003D0EAB">
        <w:t xml:space="preserve"> and almost performed electroshock on her.</w:t>
      </w:r>
      <w:r w:rsidR="005E315B">
        <w:rPr>
          <w:rStyle w:val="EndnoteReference"/>
        </w:rPr>
        <w:endnoteReference w:id="17"/>
      </w:r>
      <w:r w:rsidR="005E315B" w:rsidRPr="003D0EAB">
        <w:t xml:space="preserve"> </w:t>
      </w:r>
    </w:p>
    <w:p w14:paraId="34DC90B9" w14:textId="5C5C34C8" w:rsidR="005E315B" w:rsidRPr="00F2747C" w:rsidRDefault="005E315B" w:rsidP="00F0673F">
      <w:pPr>
        <w:pStyle w:val="Heading2"/>
        <w:numPr>
          <w:ilvl w:val="2"/>
          <w:numId w:val="20"/>
        </w:numPr>
        <w:rPr>
          <w:b w:val="0"/>
          <w:sz w:val="24"/>
          <w:szCs w:val="24"/>
          <w:u w:val="single"/>
        </w:rPr>
      </w:pPr>
      <w:r w:rsidRPr="00F2747C">
        <w:rPr>
          <w:b w:val="0"/>
          <w:sz w:val="24"/>
          <w:szCs w:val="24"/>
          <w:u w:val="single"/>
        </w:rPr>
        <w:t>Denial of legal capacity leads to violations of ESC rights</w:t>
      </w:r>
    </w:p>
    <w:p w14:paraId="0CDD1343" w14:textId="53D07008" w:rsidR="005E315B" w:rsidRDefault="005E315B" w:rsidP="00F0673F">
      <w:pPr>
        <w:widowControl w:val="0"/>
        <w:jc w:val="both"/>
      </w:pPr>
    </w:p>
    <w:p w14:paraId="6C284533" w14:textId="61156482" w:rsidR="005E315B" w:rsidRPr="008B0B38" w:rsidRDefault="005E315B" w:rsidP="00F0673F">
      <w:pPr>
        <w:jc w:val="both"/>
      </w:pPr>
      <w:r w:rsidRPr="008B0B38">
        <w:t>Violations of civil and political r</w:t>
      </w:r>
      <w:r>
        <w:t>ights often have effects on ESC rights</w:t>
      </w:r>
      <w:r w:rsidRPr="008B0B38">
        <w:t>.</w:t>
      </w:r>
      <w:r>
        <w:t xml:space="preserve"> For persons with disabilities, this arises most prominently in the context of legal capacity. As the CRPD Committee has explained, “[e]quality before the law is a basic general principle of human rights protection and is indispensable for the exercise of human rights.”</w:t>
      </w:r>
      <w:r>
        <w:rPr>
          <w:rStyle w:val="EndnoteReference"/>
          <w:rFonts w:eastAsia="Cambria"/>
        </w:rPr>
        <w:endnoteReference w:id="18"/>
      </w:r>
      <w:r w:rsidRPr="008B0B38">
        <w:t xml:space="preserve"> </w:t>
      </w:r>
      <w:r>
        <w:t>T</w:t>
      </w:r>
      <w:r w:rsidRPr="008B0B38">
        <w:t xml:space="preserve">he CRPD Committee </w:t>
      </w:r>
      <w:r>
        <w:t>has further explained</w:t>
      </w:r>
      <w:r w:rsidR="00933F20">
        <w:t xml:space="preserve"> in its General Comment No. 1</w:t>
      </w:r>
      <w:r w:rsidRPr="008B0B38">
        <w:t xml:space="preserve"> that Article 12</w:t>
      </w:r>
      <w:r w:rsidR="007F6F2F">
        <w:t xml:space="preserve"> of the Convention on the Rights of Persons with Disabilities</w:t>
      </w:r>
      <w:r w:rsidR="00064493">
        <w:t xml:space="preserve"> (CRPD)</w:t>
      </w:r>
      <w:r w:rsidR="007F6F2F">
        <w:t xml:space="preserve">, which Colombia ratified in </w:t>
      </w:r>
      <w:r w:rsidR="00064493">
        <w:t>2011,</w:t>
      </w:r>
      <w:r w:rsidRPr="008B0B38">
        <w:t xml:space="preserve"> “does not permit </w:t>
      </w:r>
      <w:r w:rsidRPr="008B0B38">
        <w:lastRenderedPageBreak/>
        <w:t>discrimi</w:t>
      </w:r>
      <w:r>
        <w:t>natory denial of legal capacity</w:t>
      </w:r>
      <w:r w:rsidRPr="008B0B38">
        <w:t>”</w:t>
      </w:r>
      <w:r>
        <w:t xml:space="preserve"> on the basis of disability</w:t>
      </w:r>
      <w:r w:rsidR="00E5406E">
        <w:t>.</w:t>
      </w:r>
      <w:r w:rsidRPr="008B0B38">
        <w:rPr>
          <w:rStyle w:val="EndnoteReference"/>
          <w:rFonts w:eastAsia="Cambria"/>
        </w:rPr>
        <w:endnoteReference w:id="19"/>
      </w:r>
      <w:r>
        <w:t xml:space="preserve"> </w:t>
      </w:r>
      <w:r w:rsidR="00E5406E">
        <w:t>Y</w:t>
      </w:r>
      <w:r>
        <w:t>et Colombia’s guardianship law does just that—</w:t>
      </w:r>
      <w:r w:rsidRPr="008B0B38">
        <w:t>fully or partially remove</w:t>
      </w:r>
      <w:r>
        <w:t>s</w:t>
      </w:r>
      <w:r w:rsidRPr="008B0B38">
        <w:t xml:space="preserve"> legal capacity</w:t>
      </w:r>
      <w:r>
        <w:t xml:space="preserve"> on the basis of disability</w:t>
      </w:r>
      <w:r w:rsidRPr="008B0B38">
        <w:t>,</w:t>
      </w:r>
      <w:r w:rsidRPr="00A5267F">
        <w:t xml:space="preserve"> </w:t>
      </w:r>
      <w:r w:rsidRPr="008B0B38">
        <w:t>delegating the power of decision</w:t>
      </w:r>
      <w:r>
        <w:t>-</w:t>
      </w:r>
      <w:r w:rsidRPr="008B0B38">
        <w:t>making</w:t>
      </w:r>
      <w:r>
        <w:t xml:space="preserve"> in key areas of an individual’s life </w:t>
      </w:r>
      <w:r w:rsidRPr="008B0B38">
        <w:t xml:space="preserve">to a third </w:t>
      </w:r>
      <w:r>
        <w:t>party.</w:t>
      </w:r>
      <w:r w:rsidRPr="008B0B38">
        <w:t xml:space="preserve"> </w:t>
      </w:r>
      <w:r>
        <w:t xml:space="preserve">Article 2.2 of the ICESCR prohibits discrimination against individuals on the basis of “other status,” which </w:t>
      </w:r>
      <w:r w:rsidR="00E5406E">
        <w:t>the ESCR</w:t>
      </w:r>
      <w:r>
        <w:t xml:space="preserve"> Committee has explained includes a prohibition on discrimination on the basis of</w:t>
      </w:r>
      <w:r w:rsidR="00064493">
        <w:t xml:space="preserve"> </w:t>
      </w:r>
      <w:r>
        <w:t>disability.</w:t>
      </w:r>
      <w:r w:rsidRPr="008B0B38">
        <w:rPr>
          <w:rStyle w:val="EndnoteReference"/>
          <w:rFonts w:eastAsia="Cambria"/>
        </w:rPr>
        <w:endnoteReference w:id="20"/>
      </w:r>
      <w:r w:rsidRPr="008B0B38">
        <w:t xml:space="preserve"> </w:t>
      </w:r>
      <w:r w:rsidR="00064493">
        <w:t>This protection against discrimination cuts across all of the substantive</w:t>
      </w:r>
      <w:r w:rsidR="003E16C5">
        <w:t xml:space="preserve"> rights protected in the ICESCR. </w:t>
      </w:r>
      <w:r w:rsidR="00E5406E">
        <w:t>T</w:t>
      </w:r>
      <w:r w:rsidR="003E16C5">
        <w:t>he CRPD provides</w:t>
      </w:r>
      <w:r w:rsidR="00E5406E">
        <w:t xml:space="preserve"> additional</w:t>
      </w:r>
      <w:r w:rsidR="003E16C5">
        <w:t xml:space="preserve"> </w:t>
      </w:r>
      <w:r w:rsidR="00DC3628">
        <w:t xml:space="preserve">authoritative guidance on </w:t>
      </w:r>
      <w:r w:rsidR="00E5406E">
        <w:t>the implementation of</w:t>
      </w:r>
      <w:r w:rsidR="00DC3628">
        <w:t xml:space="preserve"> </w:t>
      </w:r>
      <w:r w:rsidR="00E5406E">
        <w:t>fundamental</w:t>
      </w:r>
      <w:r w:rsidR="00DC3628">
        <w:t xml:space="preserve"> rights with respect to the rights of persons with disabilities.</w:t>
      </w:r>
      <w:r w:rsidR="00872AE9">
        <w:t xml:space="preserve"> As discussed in more detail in the subsequent sections, this discriminatory denial of legal capacity for persons with disabilities violates fundamental rights protected in the ICESCR, including the right to health (art. 12), work (art. 7), family (art. 10), adequate housing (art. 11), and education (art. 13).</w:t>
      </w:r>
    </w:p>
    <w:p w14:paraId="25F9F740" w14:textId="77777777" w:rsidR="005E315B" w:rsidRDefault="005E315B" w:rsidP="00F0673F">
      <w:pPr>
        <w:widowControl w:val="0"/>
        <w:ind w:left="720"/>
        <w:jc w:val="both"/>
      </w:pPr>
    </w:p>
    <w:p w14:paraId="3AF89823" w14:textId="1EF7522A" w:rsidR="005E315B" w:rsidRPr="008C12AD" w:rsidRDefault="005E315B" w:rsidP="00F0673F">
      <w:pPr>
        <w:pStyle w:val="ListParagraph"/>
        <w:numPr>
          <w:ilvl w:val="1"/>
          <w:numId w:val="20"/>
        </w:numPr>
        <w:rPr>
          <w:b/>
          <w:sz w:val="24"/>
          <w:szCs w:val="24"/>
        </w:rPr>
      </w:pPr>
      <w:r w:rsidRPr="008C12AD">
        <w:rPr>
          <w:b/>
          <w:sz w:val="24"/>
          <w:szCs w:val="24"/>
        </w:rPr>
        <w:t>Guardianship laws expose Colombian women and girls with disabilities to forced sterilization</w:t>
      </w:r>
      <w:bookmarkStart w:id="1" w:name="_gjdgxs" w:colFirst="0" w:colLast="0"/>
      <w:bookmarkEnd w:id="1"/>
      <w:r w:rsidRPr="008C12AD">
        <w:rPr>
          <w:b/>
          <w:sz w:val="24"/>
          <w:szCs w:val="24"/>
        </w:rPr>
        <w:t>, violating their right to health (art. 12)</w:t>
      </w:r>
    </w:p>
    <w:p w14:paraId="1F7C136F" w14:textId="77777777" w:rsidR="005E315B" w:rsidRPr="000C2E1E" w:rsidRDefault="005E315B" w:rsidP="00AE451B">
      <w:pPr>
        <w:ind w:left="1440"/>
        <w:contextualSpacing/>
        <w:rPr>
          <w:b/>
        </w:rPr>
      </w:pPr>
    </w:p>
    <w:p w14:paraId="6DF13E45" w14:textId="1BC32C10" w:rsidR="005E315B" w:rsidRDefault="005E315B">
      <w:pPr>
        <w:jc w:val="center"/>
      </w:pPr>
      <w:r>
        <w:rPr>
          <w:i/>
        </w:rPr>
        <w:t xml:space="preserve">“When I was forcibly institutionalized at </w:t>
      </w:r>
      <w:proofErr w:type="spellStart"/>
      <w:r>
        <w:rPr>
          <w:i/>
        </w:rPr>
        <w:t>Nuestra</w:t>
      </w:r>
      <w:proofErr w:type="spellEnd"/>
      <w:r>
        <w:rPr>
          <w:i/>
        </w:rPr>
        <w:t xml:space="preserve"> </w:t>
      </w:r>
      <w:proofErr w:type="spellStart"/>
      <w:r>
        <w:rPr>
          <w:i/>
        </w:rPr>
        <w:t>Señora</w:t>
      </w:r>
      <w:proofErr w:type="spellEnd"/>
      <w:r>
        <w:rPr>
          <w:i/>
        </w:rPr>
        <w:t xml:space="preserve"> de la Paz Clinic I met women with intellectual and psychosocial disabilities who were left indefinitely institutionalized by their families. I </w:t>
      </w:r>
      <w:r w:rsidR="009B7B85">
        <w:rPr>
          <w:i/>
        </w:rPr>
        <w:t>met</w:t>
      </w:r>
      <w:r>
        <w:rPr>
          <w:i/>
        </w:rPr>
        <w:t xml:space="preserve"> one young woman who had been forcibly sterilized after she was denied to raise her daughter only because she had a diagnosis of Bipolar Disorder. No State office intervened in this case.”</w:t>
      </w:r>
    </w:p>
    <w:p w14:paraId="5AEEC8D0" w14:textId="0022022C" w:rsidR="005E315B" w:rsidRDefault="005E315B">
      <w:pPr>
        <w:jc w:val="center"/>
        <w:rPr>
          <w:b/>
        </w:rPr>
      </w:pPr>
      <w:r>
        <w:rPr>
          <w:b/>
        </w:rPr>
        <w:t xml:space="preserve">- </w:t>
      </w:r>
      <w:r w:rsidRPr="00971757">
        <w:t xml:space="preserve">Andrea Cortés, member of </w:t>
      </w:r>
      <w:proofErr w:type="spellStart"/>
      <w:r w:rsidRPr="00971757">
        <w:t>Colectiva</w:t>
      </w:r>
      <w:proofErr w:type="spellEnd"/>
      <w:r w:rsidRPr="00971757">
        <w:t xml:space="preserve"> </w:t>
      </w:r>
      <w:proofErr w:type="spellStart"/>
      <w:r w:rsidRPr="00971757">
        <w:t>Polimorfas</w:t>
      </w:r>
      <w:proofErr w:type="spellEnd"/>
      <w:r w:rsidRPr="00971757">
        <w:t xml:space="preserve"> and a woman with psychosocial disabilities.</w:t>
      </w:r>
      <w:r>
        <w:rPr>
          <w:rStyle w:val="EndnoteReference"/>
        </w:rPr>
        <w:endnoteReference w:id="21"/>
      </w:r>
    </w:p>
    <w:p w14:paraId="159AB532" w14:textId="77777777" w:rsidR="005E315B" w:rsidRDefault="005E315B" w:rsidP="00AF5561"/>
    <w:p w14:paraId="5861D644" w14:textId="4D4C1C78" w:rsidR="005E315B" w:rsidRPr="008C12AD" w:rsidRDefault="005E315B" w:rsidP="00F0673F">
      <w:pPr>
        <w:pStyle w:val="ListParagraph"/>
        <w:numPr>
          <w:ilvl w:val="2"/>
          <w:numId w:val="15"/>
        </w:numPr>
        <w:rPr>
          <w:sz w:val="24"/>
          <w:szCs w:val="24"/>
          <w:u w:val="single"/>
        </w:rPr>
      </w:pPr>
      <w:r w:rsidRPr="008C12AD">
        <w:rPr>
          <w:sz w:val="24"/>
          <w:szCs w:val="24"/>
          <w:u w:val="single"/>
        </w:rPr>
        <w:t>Forced sterilization of women with disabilities in Colombia</w:t>
      </w:r>
    </w:p>
    <w:p w14:paraId="3C65C0FA" w14:textId="77777777" w:rsidR="005E315B" w:rsidRDefault="005E315B" w:rsidP="00F0673F">
      <w:pPr>
        <w:jc w:val="both"/>
      </w:pPr>
    </w:p>
    <w:p w14:paraId="120E6A71" w14:textId="62EC6BFD" w:rsidR="005E315B" w:rsidRDefault="005E315B" w:rsidP="00F0673F">
      <w:pPr>
        <w:widowControl w:val="0"/>
        <w:jc w:val="both"/>
      </w:pPr>
      <w:r>
        <w:t xml:space="preserve">Colombia's Law 1306-2009 allows for sterilization of persons with disabilities without their consent, with women with disabilities being sterilized more than 8 times more often than </w:t>
      </w:r>
      <w:r w:rsidR="008C12AD">
        <w:t>men with disabilities</w:t>
      </w:r>
      <w:r>
        <w:t>. The Colombian Ministry of Health reports that, from 2009 to 2015, 3</w:t>
      </w:r>
      <w:r w:rsidR="005F23BD">
        <w:t>,</w:t>
      </w:r>
      <w:r>
        <w:t>805</w:t>
      </w:r>
      <w:r w:rsidR="00C05B19">
        <w:t xml:space="preserve"> </w:t>
      </w:r>
      <w:r>
        <w:t xml:space="preserve">women with disabilities </w:t>
      </w:r>
      <w:r w:rsidR="00F0673F">
        <w:t>were sterilized, compared to the sterilization of</w:t>
      </w:r>
      <w:r>
        <w:t xml:space="preserve"> 465 men with disabilities.</w:t>
      </w:r>
      <w:r>
        <w:rPr>
          <w:vertAlign w:val="superscript"/>
        </w:rPr>
        <w:endnoteReference w:id="22"/>
      </w:r>
      <w:r>
        <w:t xml:space="preserve"> Available data does not indicate the extent to which the person being sterilized gave free and informed consent or whether the sterilization was at the request of a guardian. In addition, registration of these sterilizations is voluntary, which could mean that a significant amount of cases and incidents are underreported. </w:t>
      </w:r>
    </w:p>
    <w:p w14:paraId="40BFC437" w14:textId="77777777" w:rsidR="005E315B" w:rsidRDefault="005E315B" w:rsidP="00F0673F">
      <w:pPr>
        <w:widowControl w:val="0"/>
        <w:jc w:val="both"/>
      </w:pPr>
    </w:p>
    <w:p w14:paraId="283D1FF4" w14:textId="6A6655C5" w:rsidR="005E315B" w:rsidRDefault="005E315B" w:rsidP="00F0673F">
      <w:pPr>
        <w:widowControl w:val="0"/>
        <w:jc w:val="both"/>
        <w:rPr>
          <w:rFonts w:ascii="Times" w:eastAsia="Times" w:hAnsi="Times" w:cs="Times"/>
        </w:rPr>
      </w:pPr>
      <w:r>
        <w:rPr>
          <w:rFonts w:ascii="Times" w:eastAsia="Times" w:hAnsi="Times" w:cs="Times"/>
        </w:rPr>
        <w:t xml:space="preserve">Women with disabilities are at risk of sterilization </w:t>
      </w:r>
      <w:r w:rsidR="00B627AA">
        <w:rPr>
          <w:rFonts w:ascii="Times" w:eastAsia="Times" w:hAnsi="Times" w:cs="Times"/>
        </w:rPr>
        <w:t xml:space="preserve">due to </w:t>
      </w:r>
      <w:r>
        <w:rPr>
          <w:rFonts w:ascii="Times" w:eastAsia="Times" w:hAnsi="Times" w:cs="Times"/>
        </w:rPr>
        <w:t xml:space="preserve">a variety of factors. </w:t>
      </w:r>
      <w:r w:rsidR="00614B89">
        <w:rPr>
          <w:rFonts w:ascii="Times" w:eastAsia="Times" w:hAnsi="Times" w:cs="Times"/>
        </w:rPr>
        <w:t>G</w:t>
      </w:r>
      <w:r>
        <w:rPr>
          <w:rFonts w:ascii="Times" w:eastAsia="Times" w:hAnsi="Times" w:cs="Times"/>
        </w:rPr>
        <w:t xml:space="preserve">uardians </w:t>
      </w:r>
      <w:r w:rsidR="00614B89">
        <w:rPr>
          <w:rFonts w:ascii="Times" w:eastAsia="Times" w:hAnsi="Times" w:cs="Times"/>
        </w:rPr>
        <w:t xml:space="preserve">may </w:t>
      </w:r>
      <w:r>
        <w:rPr>
          <w:rFonts w:ascii="Times" w:eastAsia="Times" w:hAnsi="Times" w:cs="Times"/>
        </w:rPr>
        <w:t>seek surgical sterilization for pers</w:t>
      </w:r>
      <w:r w:rsidR="00614B89">
        <w:rPr>
          <w:rFonts w:ascii="Times" w:eastAsia="Times" w:hAnsi="Times" w:cs="Times"/>
        </w:rPr>
        <w:t xml:space="preserve">ons with disabilities to </w:t>
      </w:r>
      <w:r>
        <w:rPr>
          <w:rFonts w:ascii="Times" w:eastAsia="Times" w:hAnsi="Times" w:cs="Times"/>
        </w:rPr>
        <w:t xml:space="preserve">reduce the risk of pregnancy resulting from sexual violence, </w:t>
      </w:r>
      <w:r w:rsidR="00614B89">
        <w:rPr>
          <w:rFonts w:ascii="Times" w:eastAsia="Times" w:hAnsi="Times" w:cs="Times"/>
        </w:rPr>
        <w:t xml:space="preserve">due to </w:t>
      </w:r>
      <w:r>
        <w:rPr>
          <w:rFonts w:ascii="Times" w:eastAsia="Times" w:hAnsi="Times" w:cs="Times"/>
        </w:rPr>
        <w:t>stereotypes that women with disabilities should not or cannot become parents, based on a doctor's recommendation, or due to a lack of information about alternative, reversible methods of contraception. For example, in one case brought before the</w:t>
      </w:r>
      <w:r w:rsidR="00C05B19">
        <w:rPr>
          <w:rFonts w:ascii="Times" w:eastAsia="Times" w:hAnsi="Times" w:cs="Times"/>
        </w:rPr>
        <w:t xml:space="preserve"> </w:t>
      </w:r>
      <w:r>
        <w:rPr>
          <w:rFonts w:ascii="Times" w:eastAsia="Times" w:hAnsi="Times" w:cs="Times"/>
        </w:rPr>
        <w:t xml:space="preserve"> </w:t>
      </w:r>
      <w:r w:rsidR="00B627AA">
        <w:rPr>
          <w:rFonts w:ascii="Times" w:eastAsia="Times" w:hAnsi="Times" w:cs="Times"/>
        </w:rPr>
        <w:t xml:space="preserve">Colombian </w:t>
      </w:r>
      <w:r>
        <w:rPr>
          <w:rFonts w:ascii="Times" w:eastAsia="Times" w:hAnsi="Times" w:cs="Times"/>
        </w:rPr>
        <w:t>Constitutional Court, the father of</w:t>
      </w:r>
      <w:r w:rsidR="00C05B19">
        <w:rPr>
          <w:rFonts w:ascii="Times" w:eastAsia="Times" w:hAnsi="Times" w:cs="Times"/>
        </w:rPr>
        <w:t xml:space="preserve"> </w:t>
      </w:r>
      <w:r w:rsidR="00B627AA">
        <w:rPr>
          <w:rFonts w:ascii="Times" w:eastAsia="Times" w:hAnsi="Times" w:cs="Times"/>
        </w:rPr>
        <w:t>a</w:t>
      </w:r>
      <w:r w:rsidR="00F0673F">
        <w:rPr>
          <w:rFonts w:ascii="Times" w:eastAsia="Times" w:hAnsi="Times" w:cs="Times"/>
        </w:rPr>
        <w:t>n</w:t>
      </w:r>
      <w:r w:rsidR="00B627AA">
        <w:rPr>
          <w:rFonts w:ascii="Times" w:eastAsia="Times" w:hAnsi="Times" w:cs="Times"/>
        </w:rPr>
        <w:t xml:space="preserve"> </w:t>
      </w:r>
      <w:r w:rsidR="00F0673F">
        <w:rPr>
          <w:rFonts w:ascii="Times" w:eastAsia="Times" w:hAnsi="Times" w:cs="Times"/>
        </w:rPr>
        <w:t>adolescent</w:t>
      </w:r>
      <w:r>
        <w:rPr>
          <w:rFonts w:ascii="Times" w:eastAsia="Times" w:hAnsi="Times" w:cs="Times"/>
        </w:rPr>
        <w:t xml:space="preserve"> with</w:t>
      </w:r>
      <w:r w:rsidR="00F0673F">
        <w:rPr>
          <w:rFonts w:ascii="Times" w:eastAsia="Times" w:hAnsi="Times" w:cs="Times"/>
        </w:rPr>
        <w:t xml:space="preserve"> a</w:t>
      </w:r>
      <w:r>
        <w:rPr>
          <w:rFonts w:ascii="Times" w:eastAsia="Times" w:hAnsi="Times" w:cs="Times"/>
        </w:rPr>
        <w:t xml:space="preserve"> disability argued that his daughter needed to be sterilized because she "[e]</w:t>
      </w:r>
      <w:proofErr w:type="spellStart"/>
      <w:r>
        <w:rPr>
          <w:rFonts w:ascii="Times" w:eastAsia="Times" w:hAnsi="Times" w:cs="Times"/>
        </w:rPr>
        <w:t>scapes</w:t>
      </w:r>
      <w:proofErr w:type="spellEnd"/>
      <w:r>
        <w:rPr>
          <w:rFonts w:ascii="Times" w:eastAsia="Times" w:hAnsi="Times" w:cs="Times"/>
        </w:rPr>
        <w:t xml:space="preserve"> from the house and does not know how to measure the consequences, since unscrupulous people or men can abuse, take advantage of her situation and can transmit any sexually transmitted disease (sic).”</w:t>
      </w:r>
      <w:r>
        <w:rPr>
          <w:rStyle w:val="EndnoteReference"/>
          <w:rFonts w:ascii="Times" w:eastAsia="Times" w:hAnsi="Times" w:cs="Times"/>
        </w:rPr>
        <w:endnoteReference w:id="23"/>
      </w:r>
      <w:r>
        <w:rPr>
          <w:rFonts w:ascii="Times" w:eastAsia="Times" w:hAnsi="Times" w:cs="Times"/>
        </w:rPr>
        <w:t xml:space="preserve"> In another case, the Court considered a petition to sterilize a girl with a disability where the request for sterilization was justified on the basis of the mother working outside of the house and needing to leave her daughter home alone for long periods of time.</w:t>
      </w:r>
      <w:r>
        <w:rPr>
          <w:rStyle w:val="EndnoteReference"/>
          <w:rFonts w:ascii="Times" w:eastAsia="Times" w:hAnsi="Times" w:cs="Times"/>
        </w:rPr>
        <w:endnoteReference w:id="24"/>
      </w:r>
      <w:r>
        <w:rPr>
          <w:rFonts w:ascii="Times" w:eastAsia="Times" w:hAnsi="Times" w:cs="Times"/>
        </w:rPr>
        <w:t xml:space="preserve"> These cases reflect misconceptions that families </w:t>
      </w:r>
      <w:r>
        <w:rPr>
          <w:rFonts w:ascii="Times" w:eastAsia="Times" w:hAnsi="Times" w:cs="Times"/>
        </w:rPr>
        <w:lastRenderedPageBreak/>
        <w:t>have about sterilization as a means to protect their children, yet in reality, sterilization neither protects girls with disabilities from sexual violence nor from sexually transmitted infections</w:t>
      </w:r>
      <w:r w:rsidR="00857D1F">
        <w:rPr>
          <w:rFonts w:ascii="Times" w:eastAsia="Times" w:hAnsi="Times" w:cs="Times"/>
        </w:rPr>
        <w:t xml:space="preserve"> (STIs)</w:t>
      </w:r>
      <w:r>
        <w:rPr>
          <w:rFonts w:ascii="Times" w:eastAsia="Times" w:hAnsi="Times" w:cs="Times"/>
        </w:rPr>
        <w:t>.</w:t>
      </w:r>
    </w:p>
    <w:p w14:paraId="5FF57A80" w14:textId="77777777" w:rsidR="005E315B" w:rsidRDefault="005E315B" w:rsidP="00F0673F">
      <w:pPr>
        <w:widowControl w:val="0"/>
        <w:jc w:val="both"/>
        <w:rPr>
          <w:rFonts w:ascii="Times" w:eastAsia="Times" w:hAnsi="Times" w:cs="Times"/>
        </w:rPr>
      </w:pPr>
    </w:p>
    <w:p w14:paraId="6EF8F081" w14:textId="4A77709E" w:rsidR="005E315B" w:rsidRPr="00872AE9" w:rsidRDefault="005E315B" w:rsidP="00F0673F">
      <w:pPr>
        <w:widowControl w:val="0"/>
        <w:jc w:val="both"/>
        <w:rPr>
          <w:szCs w:val="32"/>
        </w:rPr>
      </w:pPr>
      <w:r>
        <w:t>Instead, forced st</w:t>
      </w:r>
      <w:r w:rsidR="00857D1F">
        <w:t>erilization carries significant</w:t>
      </w:r>
      <w:r>
        <w:t xml:space="preserve"> and well documented physical and mental health consequences.</w:t>
      </w:r>
      <w:r w:rsidRPr="00582BAE">
        <w:rPr>
          <w:rStyle w:val="EndnoteReference"/>
        </w:rPr>
        <w:endnoteReference w:id="25"/>
      </w:r>
      <w:r w:rsidRPr="00582BAE">
        <w:rPr>
          <w:szCs w:val="32"/>
        </w:rPr>
        <w:t xml:space="preserve"> S</w:t>
      </w:r>
      <w:r>
        <w:rPr>
          <w:szCs w:val="32"/>
        </w:rPr>
        <w:t>urgical sterilization, which is considered an irreversible contraceptive method,</w:t>
      </w:r>
      <w:r w:rsidRPr="00582BAE">
        <w:rPr>
          <w:rStyle w:val="EndnoteReference"/>
        </w:rPr>
        <w:endnoteReference w:id="26"/>
      </w:r>
      <w:r>
        <w:rPr>
          <w:szCs w:val="32"/>
        </w:rPr>
        <w:t xml:space="preserve"> </w:t>
      </w:r>
      <w:r w:rsidRPr="00582BAE">
        <w:rPr>
          <w:szCs w:val="32"/>
        </w:rPr>
        <w:t>causes a permanent physical harm by altering the functioning of reproductive organs,</w:t>
      </w:r>
      <w:r w:rsidRPr="00582BAE">
        <w:rPr>
          <w:rStyle w:val="EndnoteReference"/>
        </w:rPr>
        <w:endnoteReference w:id="27"/>
      </w:r>
      <w:r w:rsidRPr="00582BAE">
        <w:rPr>
          <w:szCs w:val="32"/>
        </w:rPr>
        <w:t xml:space="preserve"> and results in the loss of the ability to conceive a biologically related child and to experience pregnancy and childbirth.</w:t>
      </w:r>
      <w:r w:rsidRPr="00582BAE">
        <w:rPr>
          <w:rStyle w:val="EndnoteReference"/>
          <w:szCs w:val="32"/>
        </w:rPr>
        <w:endnoteReference w:id="28"/>
      </w:r>
      <w:r>
        <w:rPr>
          <w:szCs w:val="32"/>
        </w:rPr>
        <w:t xml:space="preserve"> </w:t>
      </w:r>
      <w:r w:rsidRPr="000D7E17">
        <w:rPr>
          <w:szCs w:val="32"/>
        </w:rPr>
        <w:t>The Open Society Foundation</w:t>
      </w:r>
      <w:r>
        <w:rPr>
          <w:szCs w:val="32"/>
        </w:rPr>
        <w:t>s</w:t>
      </w:r>
      <w:r w:rsidRPr="000D7E17">
        <w:rPr>
          <w:szCs w:val="32"/>
        </w:rPr>
        <w:t xml:space="preserve"> has documented that the after-effects of forced sterilization can include depression, “social isolation, family discord or abandonment, fear of medical professionals, and lifelong grief.”</w:t>
      </w:r>
      <w:r w:rsidRPr="000D7E17">
        <w:rPr>
          <w:rStyle w:val="EndnoteReference"/>
        </w:rPr>
        <w:endnoteReference w:id="29"/>
      </w:r>
      <w:r w:rsidR="00872AE9">
        <w:rPr>
          <w:szCs w:val="32"/>
        </w:rPr>
        <w:t xml:space="preserve"> </w:t>
      </w:r>
      <w:r w:rsidR="00872AE9">
        <w:t>Moreover, forced sterilization</w:t>
      </w:r>
      <w:r>
        <w:t xml:space="preserve"> </w:t>
      </w:r>
      <w:r w:rsidR="00872AE9">
        <w:t>may</w:t>
      </w:r>
      <w:r>
        <w:t xml:space="preserve"> actually expose women and girls with disabilities to a heightened risk of sexual violence, as perpetrators </w:t>
      </w:r>
      <w:r w:rsidR="00872AE9">
        <w:t>may</w:t>
      </w:r>
      <w:r>
        <w:t xml:space="preserve"> be emboldened by the fact that the woman cannot become pregnant, preventing evidence of the sexual abuse from coming to light, and the fact that, as discussed above, a woman under guardianship is not considered competent to testify against her abuser. </w:t>
      </w:r>
    </w:p>
    <w:p w14:paraId="59C104B8" w14:textId="77777777" w:rsidR="005E315B" w:rsidRDefault="005E315B" w:rsidP="00F0673F">
      <w:pPr>
        <w:widowControl w:val="0"/>
        <w:jc w:val="both"/>
        <w:rPr>
          <w:rFonts w:ascii="Times" w:eastAsia="Times" w:hAnsi="Times" w:cs="Times"/>
        </w:rPr>
      </w:pPr>
    </w:p>
    <w:p w14:paraId="6284ACE3" w14:textId="21C2FABF" w:rsidR="005E315B" w:rsidRDefault="005E315B" w:rsidP="00F0673F">
      <w:pPr>
        <w:widowControl w:val="0"/>
        <w:jc w:val="both"/>
      </w:pPr>
      <w:r>
        <w:rPr>
          <w:rFonts w:ascii="Times" w:eastAsia="Times" w:hAnsi="Times" w:cs="Times"/>
        </w:rPr>
        <w:t xml:space="preserve">In 2017, the Colombian Constitutional Court and the Ministry of Health transformed the legal </w:t>
      </w:r>
      <w:r w:rsidR="008C12AD">
        <w:rPr>
          <w:rFonts w:ascii="Times" w:eastAsia="Times" w:hAnsi="Times" w:cs="Times"/>
        </w:rPr>
        <w:t>environment</w:t>
      </w:r>
      <w:r>
        <w:rPr>
          <w:rFonts w:ascii="Times" w:eastAsia="Times" w:hAnsi="Times" w:cs="Times"/>
        </w:rPr>
        <w:t xml:space="preserve"> that allowed forced sterilization for women and girls with disabilities. With decision T- 573 of 2016 and Decree 1904 of 2017, Colombia modified the legal standard to require direct consent for sexual and reproductive health services provid</w:t>
      </w:r>
      <w:r w:rsidR="008C12AD">
        <w:rPr>
          <w:rFonts w:ascii="Times" w:eastAsia="Times" w:hAnsi="Times" w:cs="Times"/>
        </w:rPr>
        <w:t>ed to persons with disabilities</w:t>
      </w:r>
      <w:r>
        <w:rPr>
          <w:rFonts w:ascii="Times" w:eastAsia="Times" w:hAnsi="Times" w:cs="Times"/>
        </w:rPr>
        <w:t xml:space="preserve"> by using reasonable accommodations and support mechanisms. Although these new regulations represent a big step </w:t>
      </w:r>
      <w:r w:rsidR="008C12AD">
        <w:rPr>
          <w:rFonts w:ascii="Times" w:eastAsia="Times" w:hAnsi="Times" w:cs="Times"/>
        </w:rPr>
        <w:t>toward better enforcement of</w:t>
      </w:r>
      <w:r>
        <w:rPr>
          <w:rFonts w:ascii="Times" w:eastAsia="Times" w:hAnsi="Times" w:cs="Times"/>
        </w:rPr>
        <w:t xml:space="preserve"> the rights of women and girls with disabilities, the</w:t>
      </w:r>
      <w:r w:rsidR="008C12AD">
        <w:rPr>
          <w:rFonts w:ascii="Times" w:eastAsia="Times" w:hAnsi="Times" w:cs="Times"/>
        </w:rPr>
        <w:t xml:space="preserve">se new regulations do not alter the legal landscape for individuals under plenary guardianship. </w:t>
      </w:r>
      <w:r>
        <w:rPr>
          <w:rFonts w:ascii="Times" w:eastAsia="Times" w:hAnsi="Times" w:cs="Times"/>
        </w:rPr>
        <w:t xml:space="preserve">Article 6 of Act 1412 of 2010 still allows judges to order sterilization procedures for persons with disabilities that are under plenary guardianship. </w:t>
      </w:r>
    </w:p>
    <w:p w14:paraId="21EEC091" w14:textId="77777777" w:rsidR="005E315B" w:rsidRDefault="005E315B" w:rsidP="00F0673F">
      <w:pPr>
        <w:widowControl w:val="0"/>
        <w:jc w:val="both"/>
      </w:pPr>
    </w:p>
    <w:p w14:paraId="1DE83509" w14:textId="3470F557" w:rsidR="005E315B" w:rsidRDefault="005E315B" w:rsidP="00F0673F">
      <w:pPr>
        <w:pStyle w:val="ListParagraph"/>
        <w:widowControl w:val="0"/>
        <w:numPr>
          <w:ilvl w:val="2"/>
          <w:numId w:val="15"/>
        </w:numPr>
        <w:rPr>
          <w:b/>
          <w:sz w:val="24"/>
          <w:szCs w:val="24"/>
        </w:rPr>
      </w:pPr>
      <w:r w:rsidRPr="00391538">
        <w:rPr>
          <w:b/>
          <w:sz w:val="24"/>
          <w:szCs w:val="24"/>
        </w:rPr>
        <w:t>Forced sterilization violates article 12 (right to health)</w:t>
      </w:r>
    </w:p>
    <w:p w14:paraId="6C80E50B" w14:textId="77777777" w:rsidR="005E315B" w:rsidRPr="00391538" w:rsidRDefault="005E315B" w:rsidP="00F0673F">
      <w:pPr>
        <w:pStyle w:val="ListParagraph"/>
        <w:widowControl w:val="0"/>
        <w:ind w:left="1440"/>
        <w:rPr>
          <w:b/>
          <w:sz w:val="24"/>
          <w:szCs w:val="24"/>
        </w:rPr>
      </w:pPr>
    </w:p>
    <w:p w14:paraId="3154AFEE" w14:textId="150DF032" w:rsidR="00614B89" w:rsidRDefault="00614B89" w:rsidP="00F0673F">
      <w:pPr>
        <w:widowControl w:val="0"/>
        <w:jc w:val="both"/>
      </w:pPr>
      <w:r w:rsidRPr="00E73DAE">
        <w:t>The right to health, protected under article 12 of the ICESCR, encompasses the right to sexual and reproductive health.</w:t>
      </w:r>
      <w:r w:rsidRPr="00E73DAE">
        <w:rPr>
          <w:vertAlign w:val="superscript"/>
        </w:rPr>
        <w:endnoteReference w:id="30"/>
      </w:r>
      <w:r w:rsidRPr="00E73DAE">
        <w:t xml:space="preserve"> </w:t>
      </w:r>
      <w:r w:rsidR="005E315B" w:rsidRPr="00E73DAE">
        <w:t>In its General Comment No. 22, t</w:t>
      </w:r>
      <w:r w:rsidRPr="00E73DAE">
        <w:t>he ESCR</w:t>
      </w:r>
      <w:r w:rsidR="005E315B" w:rsidRPr="00E73DAE">
        <w:t xml:space="preserve"> Committee explained that the obligation to respect the right to sexual and reproductive health requires states to repeal or refrain from enacting laws that </w:t>
      </w:r>
      <w:r w:rsidR="00E73DAE" w:rsidRPr="00E73DAE">
        <w:t>require or allow substituted decision-making</w:t>
      </w:r>
      <w:r w:rsidR="005E315B" w:rsidRPr="00E73DAE">
        <w:t xml:space="preserve">, </w:t>
      </w:r>
      <w:r w:rsidR="00E73DAE" w:rsidRPr="00E73DAE">
        <w:t>including both</w:t>
      </w:r>
      <w:r w:rsidR="005E315B" w:rsidRPr="00E73DAE">
        <w:t xml:space="preserve"> requirements of parental, spo</w:t>
      </w:r>
      <w:r w:rsidR="00E73DAE" w:rsidRPr="00E73DAE">
        <w:t>usal, or judicial authorization</w:t>
      </w:r>
      <w:r w:rsidR="005E315B" w:rsidRPr="00E73DAE">
        <w:t xml:space="preserve"> to access </w:t>
      </w:r>
      <w:r w:rsidR="003243CB" w:rsidRPr="00E73DAE">
        <w:t>sexual and reproductive health</w:t>
      </w:r>
      <w:r w:rsidR="005E315B" w:rsidRPr="00E73DAE">
        <w:t xml:space="preserve"> services</w:t>
      </w:r>
      <w:r w:rsidR="00E73DAE" w:rsidRPr="00E73DAE">
        <w:t xml:space="preserve"> and laws and policies that </w:t>
      </w:r>
      <w:r w:rsidR="008C12AD">
        <w:t>“</w:t>
      </w:r>
      <w:r w:rsidR="00E73DAE" w:rsidRPr="00E73DAE">
        <w:t>prescribe involuntary, coercive or forced medical interventions, such as forced sterilization</w:t>
      </w:r>
      <w:r w:rsidR="005E315B" w:rsidRPr="00E73DAE">
        <w:t>.</w:t>
      </w:r>
      <w:r w:rsidR="008C12AD">
        <w:t>”</w:t>
      </w:r>
      <w:r w:rsidR="005E315B" w:rsidRPr="00E73DAE">
        <w:rPr>
          <w:vertAlign w:val="superscript"/>
        </w:rPr>
        <w:endnoteReference w:id="31"/>
      </w:r>
      <w:r w:rsidR="005E315B" w:rsidRPr="00E73DAE">
        <w:t xml:space="preserve"> </w:t>
      </w:r>
      <w:r w:rsidR="003243CB" w:rsidRPr="00E73DAE">
        <w:t xml:space="preserve">Indeed, it is well established that forced sterilization violates </w:t>
      </w:r>
      <w:r w:rsidR="00E73DAE" w:rsidRPr="00E73DAE">
        <w:t>fundamental rights. Treaty bodies have unambiguously instructed States to prohibit forced sterilization in law.</w:t>
      </w:r>
      <w:r w:rsidR="00E73DAE" w:rsidRPr="00E73DAE">
        <w:rPr>
          <w:vertAlign w:val="superscript"/>
        </w:rPr>
        <w:endnoteReference w:id="32"/>
      </w:r>
      <w:r w:rsidR="00E73DAE" w:rsidRPr="00E73DAE">
        <w:t xml:space="preserve"> Both the Committee on the Rights of the Child (CRC Committee) and the Special Rapporteur on violence against women have</w:t>
      </w:r>
      <w:r w:rsidR="00E73DAE" w:rsidRPr="00254959">
        <w:t xml:space="preserve"> classified forced sterilization as an act of violence,</w:t>
      </w:r>
      <w:r w:rsidR="00E73DAE" w:rsidRPr="00254959">
        <w:rPr>
          <w:vertAlign w:val="superscript"/>
        </w:rPr>
        <w:endnoteReference w:id="33"/>
      </w:r>
      <w:r w:rsidR="00E73DAE" w:rsidRPr="00254959">
        <w:t xml:space="preserve"> while the </w:t>
      </w:r>
      <w:r w:rsidR="00E73DAE">
        <w:t xml:space="preserve">CRC Committee and the </w:t>
      </w:r>
      <w:r w:rsidR="00E73DAE" w:rsidRPr="00254959">
        <w:t>Special Rapporteur on torture noted that forced sterilization</w:t>
      </w:r>
      <w:r w:rsidR="00E73DAE">
        <w:t xml:space="preserve"> of </w:t>
      </w:r>
      <w:r w:rsidR="00E73DAE" w:rsidRPr="00254959">
        <w:t>persons with disabilities may be tantamount to torture or other cruel, inhuman or degrading treatment or punishment.</w:t>
      </w:r>
      <w:r w:rsidR="00E73DAE" w:rsidRPr="00254959">
        <w:rPr>
          <w:vertAlign w:val="superscript"/>
        </w:rPr>
        <w:endnoteReference w:id="34"/>
      </w:r>
    </w:p>
    <w:p w14:paraId="5A4D6F3D" w14:textId="77777777" w:rsidR="00AF03D6" w:rsidRDefault="00AF03D6" w:rsidP="00F0673F">
      <w:pPr>
        <w:widowControl w:val="0"/>
        <w:jc w:val="both"/>
      </w:pPr>
    </w:p>
    <w:p w14:paraId="67B15C76" w14:textId="372CC06A" w:rsidR="00AF03D6" w:rsidRPr="006E38FC" w:rsidRDefault="00AF03D6" w:rsidP="00F0673F">
      <w:pPr>
        <w:widowControl w:val="0"/>
        <w:jc w:val="both"/>
      </w:pPr>
      <w:r w:rsidRPr="006E38FC">
        <w:t xml:space="preserve">The CRPD Committee </w:t>
      </w:r>
      <w:r w:rsidR="006E38FC">
        <w:t>routinely</w:t>
      </w:r>
      <w:r w:rsidRPr="006E38FC">
        <w:t xml:space="preserve"> expresse</w:t>
      </w:r>
      <w:r w:rsidR="006E38FC">
        <w:t>s</w:t>
      </w:r>
      <w:r w:rsidRPr="006E38FC">
        <w:t xml:space="preserve"> concern about laws, policies, and practices that allow for the sterilization of persons with disabilities without their informed consent</w:t>
      </w:r>
      <w:r w:rsidRPr="006E38FC">
        <w:rPr>
          <w:vertAlign w:val="superscript"/>
        </w:rPr>
        <w:endnoteReference w:id="35"/>
      </w:r>
      <w:r w:rsidRPr="006E38FC">
        <w:t xml:space="preserve"> or that otherwise do not protect persons with disabilities from forced sterilization.</w:t>
      </w:r>
      <w:r w:rsidRPr="006E38FC">
        <w:rPr>
          <w:vertAlign w:val="superscript"/>
        </w:rPr>
        <w:endnoteReference w:id="36"/>
      </w:r>
      <w:r w:rsidRPr="006E38FC">
        <w:t xml:space="preserve">  </w:t>
      </w:r>
      <w:r w:rsidR="008C12AD">
        <w:t>Specifically, t</w:t>
      </w:r>
      <w:r w:rsidRPr="006E38FC">
        <w:t>he CRPD Committee has</w:t>
      </w:r>
      <w:r w:rsidR="00B627AA">
        <w:t xml:space="preserve"> </w:t>
      </w:r>
      <w:r w:rsidRPr="006E38FC">
        <w:t xml:space="preserve">expressed concern where laws deprive persons with disabilities of legal capacity </w:t>
      </w:r>
      <w:r w:rsidRPr="006E38FC">
        <w:lastRenderedPageBreak/>
        <w:t>or declare them mentally incompetent, thereby denying them free and informed consent for medical procedures.</w:t>
      </w:r>
      <w:r w:rsidRPr="006E38FC">
        <w:rPr>
          <w:vertAlign w:val="superscript"/>
        </w:rPr>
        <w:endnoteReference w:id="37"/>
      </w:r>
      <w:r w:rsidRPr="006E38FC">
        <w:t xml:space="preserve"> It also has expressed concern about situations</w:t>
      </w:r>
      <w:r w:rsidR="006E38FC" w:rsidRPr="006E38FC">
        <w:t>—including in Colombia—</w:t>
      </w:r>
      <w:r w:rsidRPr="006E38FC">
        <w:t>where children with disabilities in particular are subjected to sterilization without informed consent</w:t>
      </w:r>
      <w:r w:rsidR="006E38FC" w:rsidRPr="006E38FC">
        <w:t>.</w:t>
      </w:r>
      <w:r w:rsidRPr="006E38FC">
        <w:rPr>
          <w:vertAlign w:val="superscript"/>
        </w:rPr>
        <w:endnoteReference w:id="38"/>
      </w:r>
      <w:r w:rsidRPr="006E38FC">
        <w:t xml:space="preserve"> </w:t>
      </w:r>
    </w:p>
    <w:p w14:paraId="3588FDF7" w14:textId="77777777" w:rsidR="00614B89" w:rsidRDefault="00614B89" w:rsidP="00F0673F">
      <w:pPr>
        <w:widowControl w:val="0"/>
        <w:jc w:val="both"/>
        <w:rPr>
          <w:highlight w:val="yellow"/>
        </w:rPr>
      </w:pPr>
    </w:p>
    <w:p w14:paraId="70475E74" w14:textId="59B6BDEF" w:rsidR="005E315B" w:rsidRPr="003243CB" w:rsidRDefault="003243CB" w:rsidP="00F0673F">
      <w:pPr>
        <w:widowControl w:val="0"/>
        <w:jc w:val="both"/>
        <w:rPr>
          <w:rFonts w:ascii="Times" w:eastAsia="Times" w:hAnsi="Times" w:cs="Times"/>
          <w:color w:val="212121"/>
        </w:rPr>
      </w:pPr>
      <w:r>
        <w:rPr>
          <w:rFonts w:ascii="Times" w:eastAsia="Times" w:hAnsi="Times" w:cs="Times"/>
        </w:rPr>
        <w:t>B</w:t>
      </w:r>
      <w:r w:rsidR="001641E0" w:rsidRPr="003243CB">
        <w:rPr>
          <w:rFonts w:ascii="Times" w:eastAsia="Times" w:hAnsi="Times" w:cs="Times"/>
        </w:rPr>
        <w:t>oth the Committee on the Elimination of Discrimination against Women (CEDAW Committee) and the CRPD Committee have</w:t>
      </w:r>
      <w:r w:rsidR="00AF03D6">
        <w:rPr>
          <w:rFonts w:ascii="Times" w:eastAsia="Times" w:hAnsi="Times" w:cs="Times"/>
        </w:rPr>
        <w:t xml:space="preserve"> recognized that forced sterilization of women with disabilities is a problem in Colombia,</w:t>
      </w:r>
      <w:r w:rsidR="001641E0" w:rsidRPr="003243CB">
        <w:rPr>
          <w:rFonts w:ascii="Times" w:eastAsia="Times" w:hAnsi="Times" w:cs="Times"/>
        </w:rPr>
        <w:t xml:space="preserve"> </w:t>
      </w:r>
      <w:r w:rsidR="001753D9">
        <w:rPr>
          <w:rFonts w:ascii="Times" w:eastAsia="Times" w:hAnsi="Times" w:cs="Times"/>
        </w:rPr>
        <w:t xml:space="preserve">and </w:t>
      </w:r>
      <w:r w:rsidR="002C23FB" w:rsidRPr="003243CB">
        <w:rPr>
          <w:rFonts w:ascii="Times" w:eastAsia="Times" w:hAnsi="Times" w:cs="Times"/>
        </w:rPr>
        <w:t xml:space="preserve">addressed </w:t>
      </w:r>
      <w:r w:rsidR="00AF03D6">
        <w:rPr>
          <w:rFonts w:ascii="Times" w:eastAsia="Times" w:hAnsi="Times" w:cs="Times"/>
        </w:rPr>
        <w:t>this issue</w:t>
      </w:r>
      <w:r w:rsidR="002C23FB" w:rsidRPr="003243CB">
        <w:rPr>
          <w:rFonts w:ascii="Times" w:eastAsia="Times" w:hAnsi="Times" w:cs="Times"/>
        </w:rPr>
        <w:t xml:space="preserve"> in their most recent </w:t>
      </w:r>
      <w:r w:rsidR="001753D9">
        <w:rPr>
          <w:rFonts w:ascii="Times" w:eastAsia="Times" w:hAnsi="Times" w:cs="Times"/>
        </w:rPr>
        <w:t>concluding observations to</w:t>
      </w:r>
      <w:r w:rsidR="002C23FB" w:rsidRPr="003243CB">
        <w:rPr>
          <w:rFonts w:ascii="Times" w:eastAsia="Times" w:hAnsi="Times" w:cs="Times"/>
        </w:rPr>
        <w:t xml:space="preserve"> Colombia. In 2016</w:t>
      </w:r>
      <w:r w:rsidR="001753D9">
        <w:rPr>
          <w:rFonts w:ascii="Times" w:eastAsia="Times" w:hAnsi="Times" w:cs="Times"/>
        </w:rPr>
        <w:t>,</w:t>
      </w:r>
      <w:r w:rsidR="002C23FB" w:rsidRPr="003243CB">
        <w:rPr>
          <w:rFonts w:ascii="Times" w:eastAsia="Times" w:hAnsi="Times" w:cs="Times"/>
        </w:rPr>
        <w:t xml:space="preserve"> the CRPD Committee expressed concern “that [in Colombia] the sterilization of persons with disabilities without their consent, and with the authorization </w:t>
      </w:r>
      <w:r w:rsidR="007730FE" w:rsidRPr="003243CB">
        <w:rPr>
          <w:rFonts w:ascii="Times" w:eastAsia="Times" w:hAnsi="Times" w:cs="Times"/>
        </w:rPr>
        <w:t>of a judge, is a legal practice,</w:t>
      </w:r>
      <w:r w:rsidR="002C23FB" w:rsidRPr="003243CB">
        <w:rPr>
          <w:rFonts w:ascii="Times" w:eastAsia="Times" w:hAnsi="Times" w:cs="Times"/>
        </w:rPr>
        <w:t>”</w:t>
      </w:r>
      <w:r w:rsidR="007730FE" w:rsidRPr="003243CB">
        <w:rPr>
          <w:rFonts w:ascii="Times" w:eastAsia="Times" w:hAnsi="Times" w:cs="Times"/>
        </w:rPr>
        <w:t xml:space="preserve"> and “urge[d] the State party to take the necessary steps to abolish the sterilization of persons with disabilities without their free and informed consent,” including by repealing discriminatory laws and training judges and prosecutors on the rights of persons with disabilities.</w:t>
      </w:r>
      <w:r w:rsidR="002C23FB" w:rsidRPr="003243CB">
        <w:rPr>
          <w:rFonts w:ascii="Times" w:eastAsia="Times" w:hAnsi="Times" w:cs="Times"/>
          <w:vertAlign w:val="superscript"/>
        </w:rPr>
        <w:endnoteReference w:id="39"/>
      </w:r>
      <w:r w:rsidR="001641E0" w:rsidRPr="003243CB">
        <w:rPr>
          <w:rFonts w:ascii="Times" w:eastAsia="Times" w:hAnsi="Times" w:cs="Times"/>
        </w:rPr>
        <w:t xml:space="preserve"> </w:t>
      </w:r>
      <w:r w:rsidR="002C23FB" w:rsidRPr="003243CB">
        <w:rPr>
          <w:rFonts w:ascii="Times" w:eastAsia="Times" w:hAnsi="Times" w:cs="Times"/>
        </w:rPr>
        <w:t xml:space="preserve">The CEDAW Committee </w:t>
      </w:r>
      <w:r w:rsidRPr="003243CB">
        <w:rPr>
          <w:rFonts w:ascii="Times" w:eastAsia="Times" w:hAnsi="Times" w:cs="Times"/>
        </w:rPr>
        <w:t>similarly recommended</w:t>
      </w:r>
      <w:r w:rsidR="001641E0" w:rsidRPr="003243CB">
        <w:rPr>
          <w:rFonts w:ascii="Times" w:eastAsia="Times" w:hAnsi="Times" w:cs="Times"/>
        </w:rPr>
        <w:t xml:space="preserve"> that</w:t>
      </w:r>
      <w:r w:rsidR="005E315B" w:rsidRPr="003243CB">
        <w:rPr>
          <w:rFonts w:ascii="Times" w:eastAsia="Times" w:hAnsi="Times" w:cs="Times"/>
        </w:rPr>
        <w:t xml:space="preserve"> </w:t>
      </w:r>
      <w:r w:rsidR="001641E0" w:rsidRPr="003243CB">
        <w:rPr>
          <w:rFonts w:ascii="Times" w:eastAsia="Times" w:hAnsi="Times" w:cs="Times"/>
        </w:rPr>
        <w:t xml:space="preserve">Colombia </w:t>
      </w:r>
      <w:r w:rsidR="005E315B" w:rsidRPr="003243CB">
        <w:rPr>
          <w:rFonts w:ascii="Times" w:eastAsia="Times" w:hAnsi="Times" w:cs="Times"/>
        </w:rPr>
        <w:t>take measures “to ensure that sterilization is carried out with the free and informed consent of women, in</w:t>
      </w:r>
      <w:r w:rsidRPr="003243CB">
        <w:rPr>
          <w:rFonts w:ascii="Times" w:eastAsia="Times" w:hAnsi="Times" w:cs="Times"/>
        </w:rPr>
        <w:t>cluding women with disabilities</w:t>
      </w:r>
      <w:r w:rsidR="005E315B" w:rsidRPr="003243CB">
        <w:rPr>
          <w:rFonts w:ascii="Times" w:eastAsia="Times" w:hAnsi="Times" w:cs="Times"/>
        </w:rPr>
        <w:t>”</w:t>
      </w:r>
      <w:r w:rsidRPr="003243CB">
        <w:rPr>
          <w:rFonts w:ascii="Times" w:eastAsia="Times" w:hAnsi="Times" w:cs="Times"/>
        </w:rPr>
        <w:t xml:space="preserve"> in its 2013 concluding observations to the State.</w:t>
      </w:r>
      <w:r w:rsidR="005E315B" w:rsidRPr="003243CB">
        <w:rPr>
          <w:rFonts w:ascii="Times" w:eastAsia="Times" w:hAnsi="Times" w:cs="Times"/>
          <w:vertAlign w:val="superscript"/>
        </w:rPr>
        <w:endnoteReference w:id="40"/>
      </w:r>
      <w:r w:rsidR="005E315B" w:rsidRPr="003243CB">
        <w:rPr>
          <w:rFonts w:ascii="Times" w:eastAsia="Times" w:hAnsi="Times" w:cs="Times"/>
        </w:rPr>
        <w:t xml:space="preserve"> </w:t>
      </w:r>
      <w:r w:rsidR="00B627AA">
        <w:rPr>
          <w:rFonts w:ascii="Times" w:eastAsia="Times" w:hAnsi="Times" w:cs="Times"/>
        </w:rPr>
        <w:t xml:space="preserve">For similar reasons, </w:t>
      </w:r>
      <w:r w:rsidR="006E38FC">
        <w:rPr>
          <w:rFonts w:ascii="Times" w:eastAsia="Times" w:hAnsi="Times" w:cs="Times"/>
        </w:rPr>
        <w:t>Colombia’s practice of allowing women with disabilities to be sterilized without their consent also violates the State’s obligations under article 12 of the ICESCR.</w:t>
      </w:r>
      <w:r w:rsidR="008526EF">
        <w:rPr>
          <w:rFonts w:ascii="Times" w:eastAsia="Times" w:hAnsi="Times" w:cs="Times"/>
        </w:rPr>
        <w:t xml:space="preserve"> </w:t>
      </w:r>
    </w:p>
    <w:p w14:paraId="3FD64195" w14:textId="77777777" w:rsidR="005E315B" w:rsidRDefault="005E315B" w:rsidP="00F0673F">
      <w:pPr>
        <w:widowControl w:val="0"/>
        <w:jc w:val="both"/>
      </w:pPr>
    </w:p>
    <w:p w14:paraId="0476D629" w14:textId="74443824" w:rsidR="005E315B" w:rsidRPr="008C12AD" w:rsidRDefault="008F4C1F" w:rsidP="00F0673F">
      <w:pPr>
        <w:ind w:left="720"/>
        <w:jc w:val="both"/>
        <w:rPr>
          <w:b/>
        </w:rPr>
      </w:pPr>
      <w:r>
        <w:rPr>
          <w:b/>
        </w:rPr>
        <w:t xml:space="preserve">C. </w:t>
      </w:r>
      <w:r>
        <w:rPr>
          <w:b/>
        </w:rPr>
        <w:tab/>
      </w:r>
      <w:r w:rsidR="005E315B" w:rsidRPr="008C12AD">
        <w:rPr>
          <w:b/>
        </w:rPr>
        <w:t xml:space="preserve">Without legal capacity, women and girls with disabilities are unable to make autonomous decisions </w:t>
      </w:r>
      <w:r>
        <w:rPr>
          <w:b/>
        </w:rPr>
        <w:t xml:space="preserve">about </w:t>
      </w:r>
      <w:r w:rsidR="002275E6">
        <w:rPr>
          <w:b/>
        </w:rPr>
        <w:t xml:space="preserve">marriage, </w:t>
      </w:r>
      <w:r>
        <w:rPr>
          <w:b/>
        </w:rPr>
        <w:t>family life</w:t>
      </w:r>
      <w:r w:rsidR="002275E6">
        <w:rPr>
          <w:b/>
        </w:rPr>
        <w:t>,</w:t>
      </w:r>
      <w:r>
        <w:rPr>
          <w:b/>
        </w:rPr>
        <w:t xml:space="preserve"> and choice of </w:t>
      </w:r>
      <w:r w:rsidR="003B344F">
        <w:rPr>
          <w:b/>
        </w:rPr>
        <w:t>residence</w:t>
      </w:r>
      <w:r w:rsidR="005E315B" w:rsidRPr="008C12AD">
        <w:rPr>
          <w:b/>
        </w:rPr>
        <w:t xml:space="preserve"> (arts. 10, </w:t>
      </w:r>
      <w:r>
        <w:rPr>
          <w:b/>
        </w:rPr>
        <w:t xml:space="preserve">and </w:t>
      </w:r>
      <w:r w:rsidR="005E315B" w:rsidRPr="008C12AD">
        <w:rPr>
          <w:b/>
        </w:rPr>
        <w:t>11)</w:t>
      </w:r>
    </w:p>
    <w:p w14:paraId="7408A2F7" w14:textId="77777777" w:rsidR="005E315B" w:rsidRPr="00234EC5" w:rsidRDefault="005E315B" w:rsidP="00F0673F">
      <w:pPr>
        <w:jc w:val="both"/>
        <w:rPr>
          <w:b/>
        </w:rPr>
      </w:pPr>
    </w:p>
    <w:p w14:paraId="0A60DAF0" w14:textId="20E84C87" w:rsidR="005E315B" w:rsidRPr="007C1810" w:rsidRDefault="005E315B" w:rsidP="00F0673F">
      <w:pPr>
        <w:pStyle w:val="ListParagraph"/>
        <w:numPr>
          <w:ilvl w:val="2"/>
          <w:numId w:val="16"/>
        </w:numPr>
        <w:rPr>
          <w:b/>
          <w:sz w:val="24"/>
          <w:szCs w:val="24"/>
        </w:rPr>
      </w:pPr>
      <w:r w:rsidRPr="007C1810">
        <w:rPr>
          <w:b/>
          <w:sz w:val="24"/>
          <w:szCs w:val="24"/>
        </w:rPr>
        <w:t>Marriage and Family Life</w:t>
      </w:r>
    </w:p>
    <w:p w14:paraId="46CB425E" w14:textId="77777777" w:rsidR="005E315B" w:rsidRDefault="005E315B" w:rsidP="00F0673F">
      <w:pPr>
        <w:jc w:val="both"/>
        <w:rPr>
          <w:i/>
        </w:rPr>
      </w:pPr>
    </w:p>
    <w:p w14:paraId="55C66D11" w14:textId="1C96F460" w:rsidR="005E315B" w:rsidRDefault="005E315B" w:rsidP="00F0673F">
      <w:pPr>
        <w:jc w:val="both"/>
      </w:pPr>
      <w:r>
        <w:t>Colombia’s guardianship law also interferes with the family life of women with disabilities, both impacting their ability to make autonomous decisions about marriage, parenthood, and other aspects of family life. Law 1306 of 2009 explicitly states that “[a]</w:t>
      </w:r>
      <w:proofErr w:type="spellStart"/>
      <w:r>
        <w:t>ll</w:t>
      </w:r>
      <w:proofErr w:type="spellEnd"/>
      <w:r>
        <w:t xml:space="preserve"> acts related to Family Law of persons with absolute mental disabilities [sic] shall be authorized by a Family Judge. Examples of these acts are marriage, recognition or impugnation of filiation, adoption, alimony in favor of others and similar acts.”</w:t>
      </w:r>
      <w:r>
        <w:rPr>
          <w:vertAlign w:val="superscript"/>
        </w:rPr>
        <w:endnoteReference w:id="41"/>
      </w:r>
      <w:r>
        <w:t xml:space="preserve"> As mentioned above, persons with disabilities under interdiction are unable to enter into marriage absent judicial consent.</w:t>
      </w:r>
      <w:r w:rsidR="00DD5DB5">
        <w:rPr>
          <w:vertAlign w:val="superscript"/>
        </w:rPr>
        <w:endnoteReference w:id="42"/>
      </w:r>
      <w:r>
        <w:t xml:space="preserve"> As</w:t>
      </w:r>
      <w:r w:rsidR="00FF06BE">
        <w:t xml:space="preserve"> both the ESCR Committee and other international and regional bodies have recognized,</w:t>
      </w:r>
      <w:r>
        <w:t xml:space="preserve"> regulations on</w:t>
      </w:r>
      <w:r w:rsidR="00783C43">
        <w:t xml:space="preserve"> reproduction and</w:t>
      </w:r>
      <w:r>
        <w:t xml:space="preserve"> family life are built around gender stereotypes, </w:t>
      </w:r>
      <w:r w:rsidR="00FF06BE">
        <w:t>and restrictive laws in this area</w:t>
      </w:r>
      <w:r>
        <w:t xml:space="preserve"> have a disproportionate impact on women.</w:t>
      </w:r>
      <w:r>
        <w:rPr>
          <w:vertAlign w:val="superscript"/>
        </w:rPr>
        <w:endnoteReference w:id="43"/>
      </w:r>
      <w:r>
        <w:t xml:space="preserve"> </w:t>
      </w:r>
    </w:p>
    <w:p w14:paraId="7877D4B1" w14:textId="77777777" w:rsidR="005E315B" w:rsidRDefault="005E315B" w:rsidP="00F0673F">
      <w:pPr>
        <w:jc w:val="both"/>
      </w:pPr>
    </w:p>
    <w:p w14:paraId="4147E2FB" w14:textId="4F9D283C" w:rsidR="005E315B" w:rsidRDefault="005E315B" w:rsidP="00F0673F">
      <w:pPr>
        <w:jc w:val="both"/>
      </w:pPr>
      <w:r>
        <w:t>Additionally, women and girls with disabilities who are under guardianship encounter stereotypes on the basis of both their gender and disability that can interfere with their family life. In particular, Colombia’s legal framework for family law effectively codifies a stereotype that women with disabilities are unfit to be mothers.</w:t>
      </w:r>
      <w:r>
        <w:rPr>
          <w:vertAlign w:val="superscript"/>
        </w:rPr>
        <w:endnoteReference w:id="44"/>
      </w:r>
      <w:r>
        <w:t xml:space="preserve"> Article 66 of Act 1098 of 2006 (Childhood and Adolescence Act) provides that parents with “mental illness” are not capable to consent or deny their consent to the adoption of their own children. The Colombian Constitutional Court recently upheld the constitutionality of this provision.</w:t>
      </w:r>
      <w:r>
        <w:rPr>
          <w:vertAlign w:val="superscript"/>
        </w:rPr>
        <w:endnoteReference w:id="45"/>
      </w:r>
      <w:r>
        <w:t xml:space="preserve"> As a result, parents with mental illness are legally understood as absent and a third </w:t>
      </w:r>
      <w:r w:rsidR="008C4DC4">
        <w:t>party</w:t>
      </w:r>
      <w:r>
        <w:t xml:space="preserve"> can give up their children in adoption.</w:t>
      </w:r>
      <w:r>
        <w:rPr>
          <w:vertAlign w:val="superscript"/>
        </w:rPr>
        <w:endnoteReference w:id="46"/>
      </w:r>
      <w:r>
        <w:t xml:space="preserve"> In this same vein, Act 1098 of 2006 requires “physical and mental adequacy” to adopt, which, in practice, prevents persons with disabilities from adopting children.</w:t>
      </w:r>
      <w:r>
        <w:rPr>
          <w:vertAlign w:val="superscript"/>
        </w:rPr>
        <w:endnoteReference w:id="47"/>
      </w:r>
      <w:r>
        <w:t xml:space="preserve"> Sandra Catalina León,</w:t>
      </w:r>
      <w:r w:rsidR="007A4FFE">
        <w:t xml:space="preserve"> a</w:t>
      </w:r>
      <w:r>
        <w:t xml:space="preserve"> </w:t>
      </w:r>
      <w:r>
        <w:lastRenderedPageBreak/>
        <w:t xml:space="preserve">member of </w:t>
      </w:r>
      <w:proofErr w:type="spellStart"/>
      <w:r>
        <w:t>Colectiva</w:t>
      </w:r>
      <w:proofErr w:type="spellEnd"/>
      <w:r>
        <w:t xml:space="preserve"> </w:t>
      </w:r>
      <w:proofErr w:type="spellStart"/>
      <w:r>
        <w:t>Polimorfas</w:t>
      </w:r>
      <w:proofErr w:type="spellEnd"/>
      <w:r>
        <w:t>, had to fight to retain custody of her child after she developed a physical disability following a stroke. She explains, “</w:t>
      </w:r>
      <w:r w:rsidRPr="0008396A">
        <w:t>I had to face several psychological and psychiatric evaluations because my sister threatened me with guardianship to take my son and my house from me (guardianship is only used to remove our autonomy). She exposed the case to the Colombian Institute for Family Welfare, requiring a follow-up for me to fight over my son</w:t>
      </w:r>
      <w:r>
        <w:t>.”</w:t>
      </w:r>
      <w:r>
        <w:rPr>
          <w:rStyle w:val="EndnoteReference"/>
        </w:rPr>
        <w:endnoteReference w:id="48"/>
      </w:r>
      <w:r>
        <w:t xml:space="preserve"> In case T-684 of 2014 before the Colombian Constitutional Court, the mother of a woman with a disability sought to remove her daughter’s husband as her legal guardian because he was sexually and psychologically abusing her.</w:t>
      </w:r>
      <w:r>
        <w:rPr>
          <w:vertAlign w:val="superscript"/>
        </w:rPr>
        <w:endnoteReference w:id="49"/>
      </w:r>
      <w:r>
        <w:t xml:space="preserve"> However, the trial judges in the case denied the request and considered that the husband was the ideal guardian in order not to break family unity,</w:t>
      </w:r>
      <w:r>
        <w:rPr>
          <w:vertAlign w:val="superscript"/>
        </w:rPr>
        <w:endnoteReference w:id="50"/>
      </w:r>
      <w:r>
        <w:t xml:space="preserve"> reinforcing harmful gender stereotypes</w:t>
      </w:r>
      <w:r w:rsidR="008C4DC4">
        <w:t xml:space="preserve"> and potentially continuing to expose her to gender-based violence</w:t>
      </w:r>
      <w:r>
        <w:t xml:space="preserve">. </w:t>
      </w:r>
      <w:r w:rsidRPr="005E315B">
        <w:t xml:space="preserve">The CRPD Committee has </w:t>
      </w:r>
      <w:r w:rsidR="007A4FFE">
        <w:t>recognized</w:t>
      </w:r>
      <w:r w:rsidRPr="005E315B">
        <w:t xml:space="preserve"> that, as a consequence of harmful stereotypes, women with disabilities </w:t>
      </w:r>
      <w:r w:rsidR="00FF06BE">
        <w:t xml:space="preserve">in general </w:t>
      </w:r>
      <w:r w:rsidRPr="005E315B">
        <w:t>are “significantly overrepresented in child protection proceedings and disproportionately lose contact and custody of their children, who are subject to adoption proceedings and/or to being placed in an institution.”</w:t>
      </w:r>
      <w:r w:rsidRPr="005E315B">
        <w:rPr>
          <w:vertAlign w:val="superscript"/>
        </w:rPr>
        <w:endnoteReference w:id="51"/>
      </w:r>
    </w:p>
    <w:p w14:paraId="635376ED" w14:textId="77777777" w:rsidR="005E315B" w:rsidRDefault="005E315B" w:rsidP="00F0673F">
      <w:pPr>
        <w:jc w:val="both"/>
        <w:rPr>
          <w:highlight w:val="yellow"/>
        </w:rPr>
      </w:pPr>
    </w:p>
    <w:p w14:paraId="25374C62" w14:textId="3A2DC519" w:rsidR="005E315B" w:rsidRPr="00C769E7" w:rsidRDefault="005E315B" w:rsidP="00F0673F">
      <w:pPr>
        <w:jc w:val="both"/>
        <w:rPr>
          <w:highlight w:val="yellow"/>
        </w:rPr>
      </w:pPr>
      <w:r w:rsidRPr="008E0C4F">
        <w:t>Article 10 of the ICESCR protects the rights of the family.</w:t>
      </w:r>
      <w:r w:rsidR="00E40A79">
        <w:t xml:space="preserve"> In General Comment No. 5, the ESCR Committee recognized that “[t]</w:t>
      </w:r>
      <w:proofErr w:type="spellStart"/>
      <w:r w:rsidR="00E40A79" w:rsidRPr="00B46492">
        <w:t>hese</w:t>
      </w:r>
      <w:proofErr w:type="spellEnd"/>
      <w:r w:rsidR="00E40A79" w:rsidRPr="00B46492">
        <w:t xml:space="preserve"> rights are frequently ignored or denied, especially in the case of p</w:t>
      </w:r>
      <w:r w:rsidR="00E40A79">
        <w:t>ersons with mental disabilities,” emphasizing that a</w:t>
      </w:r>
      <w:r w:rsidR="00E40A79" w:rsidRPr="00B46492">
        <w:t xml:space="preserve">rticle 10 </w:t>
      </w:r>
      <w:r w:rsidR="00E40A79">
        <w:t>protects</w:t>
      </w:r>
      <w:r w:rsidR="00E40A79" w:rsidRPr="00B46492">
        <w:t xml:space="preserve"> </w:t>
      </w:r>
      <w:r w:rsidR="00E40A79">
        <w:t>“</w:t>
      </w:r>
      <w:r w:rsidR="00E40A79" w:rsidRPr="00B46492">
        <w:t>the right of persons with disabilities to marry and have their own family.</w:t>
      </w:r>
      <w:r w:rsidR="00E40A79">
        <w:t>”</w:t>
      </w:r>
      <w:r w:rsidR="00E40A79">
        <w:rPr>
          <w:rStyle w:val="EndnoteReference"/>
        </w:rPr>
        <w:endnoteReference w:id="52"/>
      </w:r>
      <w:r w:rsidR="00E40A79" w:rsidRPr="00B46492">
        <w:t xml:space="preserve"> </w:t>
      </w:r>
      <w:r w:rsidRPr="008E0C4F">
        <w:t>The</w:t>
      </w:r>
      <w:r w:rsidRPr="005E315B">
        <w:t xml:space="preserve"> CRPD Committee </w:t>
      </w:r>
      <w:r w:rsidR="00D61CD1">
        <w:t>further</w:t>
      </w:r>
      <w:r w:rsidRPr="005E315B">
        <w:t xml:space="preserve"> explained in its General Comment No. 3 that the obligation to respect the rights of women and girls with disabilities requires States to abolish any laws or policies that directly or indirectly discriminate against women and girls with disabilities, </w:t>
      </w:r>
      <w:r w:rsidR="00D61CD1">
        <w:t>such as those</w:t>
      </w:r>
      <w:r w:rsidRPr="005E315B">
        <w:t xml:space="preserve"> that do not allow them to marry or determine the number and spacing of their children.</w:t>
      </w:r>
      <w:r w:rsidRPr="005E315B">
        <w:rPr>
          <w:vertAlign w:val="superscript"/>
        </w:rPr>
        <w:endnoteReference w:id="53"/>
      </w:r>
      <w:r w:rsidRPr="00622B4C">
        <w:t xml:space="preserve"> </w:t>
      </w:r>
      <w:r w:rsidR="00FF509E">
        <w:t>The Committee on the Elimination of Discrimination against Women</w:t>
      </w:r>
      <w:r w:rsidR="007A4FFE">
        <w:t xml:space="preserve"> (CEDAW Committee)</w:t>
      </w:r>
      <w:r w:rsidR="00FF509E">
        <w:t xml:space="preserve"> has also addressed this issue, recommending in at least one instance</w:t>
      </w:r>
      <w:r w:rsidR="00FF509E" w:rsidRPr="00FF509E">
        <w:t xml:space="preserve"> that a State amend its laws to allow women with disabilities to marry, exercise parental rights, and adopt children on an equal basis with others.</w:t>
      </w:r>
      <w:r w:rsidR="00FF509E" w:rsidRPr="00FF509E">
        <w:rPr>
          <w:vertAlign w:val="superscript"/>
        </w:rPr>
        <w:endnoteReference w:id="54"/>
      </w:r>
      <w:r w:rsidR="00FF509E">
        <w:t xml:space="preserve"> </w:t>
      </w:r>
      <w:r w:rsidR="00FF509E" w:rsidRPr="008E0C4F">
        <w:t>Restrictions under guardianship to divorce are discriminatory interferences in privacy and family life of pers</w:t>
      </w:r>
      <w:r w:rsidR="007A4FFE">
        <w:t>ons with disabilities and can put</w:t>
      </w:r>
      <w:r w:rsidR="00FF509E" w:rsidRPr="008E0C4F">
        <w:t xml:space="preserve"> women with disabilities </w:t>
      </w:r>
      <w:r w:rsidR="007A4FFE">
        <w:t>at heightened risk of</w:t>
      </w:r>
      <w:r w:rsidR="00FF509E" w:rsidRPr="008E0C4F">
        <w:t xml:space="preserve"> domestic violence and sexual abuse. Similarly, restrictions on marriage</w:t>
      </w:r>
      <w:r w:rsidR="00FF509E">
        <w:t xml:space="preserve"> or</w:t>
      </w:r>
      <w:r w:rsidR="00FF509E" w:rsidRPr="008E0C4F">
        <w:t xml:space="preserve"> </w:t>
      </w:r>
      <w:r w:rsidR="00FF509E">
        <w:t>to become or retain parental rights</w:t>
      </w:r>
      <w:r w:rsidR="00FF509E" w:rsidRPr="008E0C4F">
        <w:t xml:space="preserve"> interfere with the right of protection </w:t>
      </w:r>
      <w:r w:rsidR="00FF509E">
        <w:t>of the</w:t>
      </w:r>
      <w:r w:rsidR="00FF509E" w:rsidRPr="008E0C4F">
        <w:t xml:space="preserve"> famil</w:t>
      </w:r>
      <w:r w:rsidR="00FF509E">
        <w:t>y</w:t>
      </w:r>
      <w:r w:rsidR="00FF509E" w:rsidRPr="008E0C4F">
        <w:rPr>
          <w:color w:val="9900FF"/>
        </w:rPr>
        <w:t>.</w:t>
      </w:r>
    </w:p>
    <w:p w14:paraId="2CE849C8" w14:textId="77777777" w:rsidR="0067107C" w:rsidRDefault="0067107C" w:rsidP="00F0673F">
      <w:pPr>
        <w:widowControl w:val="0"/>
        <w:jc w:val="both"/>
      </w:pPr>
    </w:p>
    <w:p w14:paraId="3C825F69" w14:textId="15C76B6F" w:rsidR="005E315B" w:rsidRDefault="003B344F" w:rsidP="00F0673F">
      <w:pPr>
        <w:pStyle w:val="ListParagraph"/>
        <w:numPr>
          <w:ilvl w:val="2"/>
          <w:numId w:val="16"/>
        </w:numPr>
        <w:rPr>
          <w:b/>
          <w:sz w:val="24"/>
          <w:szCs w:val="24"/>
        </w:rPr>
      </w:pPr>
      <w:r>
        <w:rPr>
          <w:b/>
          <w:sz w:val="24"/>
          <w:szCs w:val="24"/>
        </w:rPr>
        <w:t>Choice of Residence</w:t>
      </w:r>
      <w:r w:rsidRPr="00C769E7">
        <w:rPr>
          <w:b/>
          <w:sz w:val="24"/>
          <w:szCs w:val="24"/>
        </w:rPr>
        <w:t xml:space="preserve"> </w:t>
      </w:r>
    </w:p>
    <w:p w14:paraId="1E714630" w14:textId="77777777" w:rsidR="00C769E7" w:rsidRPr="00C769E7" w:rsidRDefault="00C769E7" w:rsidP="00F0673F">
      <w:pPr>
        <w:pStyle w:val="ListParagraph"/>
        <w:ind w:left="1440"/>
        <w:rPr>
          <w:b/>
          <w:sz w:val="24"/>
          <w:szCs w:val="24"/>
        </w:rPr>
      </w:pPr>
    </w:p>
    <w:p w14:paraId="70931DC7" w14:textId="0D89DCBA" w:rsidR="005E315B" w:rsidRDefault="007A4FFE" w:rsidP="00F0673F">
      <w:pPr>
        <w:jc w:val="both"/>
      </w:pPr>
      <w:r>
        <w:t>R</w:t>
      </w:r>
      <w:r w:rsidR="005E315B">
        <w:t xml:space="preserve">estrictions </w:t>
      </w:r>
      <w:r>
        <w:t>on</w:t>
      </w:r>
      <w:r w:rsidR="005E315B">
        <w:t xml:space="preserve"> the autonomy of women with disabilities </w:t>
      </w:r>
      <w:r>
        <w:t>can compel</w:t>
      </w:r>
      <w:r w:rsidR="005E315B">
        <w:t xml:space="preserve"> them to live in unsafe and inadequate hous</w:t>
      </w:r>
      <w:r>
        <w:t>ing conditions</w:t>
      </w:r>
      <w:r w:rsidR="005E315B">
        <w:t xml:space="preserve">. </w:t>
      </w:r>
      <w:bookmarkStart w:id="2" w:name="_ob03zk661zsy" w:colFirst="0" w:colLast="0"/>
      <w:bookmarkEnd w:id="2"/>
      <w:r w:rsidR="005E315B">
        <w:t xml:space="preserve">For example, in the case T-684 of 2014 before the Colombian Constitutional Court, mentioned </w:t>
      </w:r>
      <w:r>
        <w:t>above</w:t>
      </w:r>
      <w:r w:rsidR="005E315B">
        <w:t>, a woman under the guardianship of her abusive husband wanted to live with her mother</w:t>
      </w:r>
      <w:r>
        <w:t>. However,</w:t>
      </w:r>
      <w:r w:rsidR="005E315B">
        <w:t xml:space="preserve"> she could not choose where to live because the guardianship law states that only the guardian can make that decision. As a result, she was forced to continue living with her abusive husband against her will.</w:t>
      </w:r>
      <w:r w:rsidR="005E315B">
        <w:rPr>
          <w:vertAlign w:val="superscript"/>
        </w:rPr>
        <w:endnoteReference w:id="55"/>
      </w:r>
      <w:r w:rsidR="005E315B">
        <w:t xml:space="preserve"> </w:t>
      </w:r>
      <w:r w:rsidR="007E4675" w:rsidRPr="006278B3">
        <w:t>Sandra Catalina León</w:t>
      </w:r>
      <w:r w:rsidR="007E4675">
        <w:t xml:space="preserve">, a member of </w:t>
      </w:r>
      <w:proofErr w:type="spellStart"/>
      <w:r w:rsidR="007E4675">
        <w:t>Colectiva</w:t>
      </w:r>
      <w:proofErr w:type="spellEnd"/>
      <w:r w:rsidR="007E4675">
        <w:t xml:space="preserve"> </w:t>
      </w:r>
      <w:proofErr w:type="spellStart"/>
      <w:r w:rsidR="007E4675">
        <w:t>Polimorfas</w:t>
      </w:r>
      <w:proofErr w:type="spellEnd"/>
      <w:r w:rsidR="007E4675">
        <w:t xml:space="preserve"> and a woman with disabilities, </w:t>
      </w:r>
      <w:r w:rsidR="00C769E7">
        <w:t xml:space="preserve">was similarly forced to stay in an unsafe housing situation due to a risk of guardianship if she were to leave her abusive husband. In testimony provided to the authors, Ms. León </w:t>
      </w:r>
      <w:r w:rsidR="007E4675">
        <w:t xml:space="preserve">explained that she was living with her husband when she lost her job after developing a disability </w:t>
      </w:r>
      <w:r w:rsidR="00C769E7">
        <w:t xml:space="preserve">due to a </w:t>
      </w:r>
      <w:r w:rsidR="007E4675">
        <w:t xml:space="preserve">stroke. </w:t>
      </w:r>
      <w:r w:rsidR="00C769E7">
        <w:t>Ms. León’s husband repeatedly subjected her</w:t>
      </w:r>
      <w:r w:rsidR="007E4675">
        <w:t xml:space="preserve"> to psychological abuse, </w:t>
      </w:r>
      <w:r>
        <w:t>accu</w:t>
      </w:r>
      <w:r w:rsidR="00C769E7">
        <w:t>sing</w:t>
      </w:r>
      <w:r w:rsidR="007E4675">
        <w:t xml:space="preserve"> her of being a burden and </w:t>
      </w:r>
      <w:r w:rsidR="00C769E7">
        <w:t>stating</w:t>
      </w:r>
      <w:r w:rsidR="007E4675">
        <w:t xml:space="preserve"> that he should have taken the chance of disconnecting her from life support when she was still in the hospital. Her precarious financial situation, as well as </w:t>
      </w:r>
      <w:r w:rsidR="00C769E7">
        <w:t>her ongoing struggle to prevent her</w:t>
      </w:r>
      <w:r w:rsidR="007E4675">
        <w:t xml:space="preserve"> sister </w:t>
      </w:r>
      <w:r w:rsidR="00C769E7">
        <w:lastRenderedPageBreak/>
        <w:t>from establishing guardianship over her</w:t>
      </w:r>
      <w:r w:rsidR="007E4675">
        <w:t>, prevented her from being able to find alternative and safe housing.</w:t>
      </w:r>
      <w:r w:rsidR="007E4675">
        <w:rPr>
          <w:rStyle w:val="EndnoteReference"/>
        </w:rPr>
        <w:endnoteReference w:id="56"/>
      </w:r>
    </w:p>
    <w:p w14:paraId="4DCF2DE5" w14:textId="77777777" w:rsidR="005E315B" w:rsidRDefault="005E315B" w:rsidP="00F0673F">
      <w:pPr>
        <w:jc w:val="both"/>
      </w:pPr>
    </w:p>
    <w:p w14:paraId="6C90712E" w14:textId="426804EF" w:rsidR="005E315B" w:rsidRDefault="005E315B" w:rsidP="00F0673F">
      <w:pPr>
        <w:jc w:val="both"/>
      </w:pPr>
      <w:r>
        <w:t>Article 11 of the ICESCR protects the right to an adequate standard of living, including a right to adequate housing. In its General Comment No. 4, this Committee underscored that the right to choose one’s residence “constitutes a very important dimension in defining the right to adequate housing.”</w:t>
      </w:r>
      <w:r>
        <w:rPr>
          <w:vertAlign w:val="superscript"/>
        </w:rPr>
        <w:endnoteReference w:id="57"/>
      </w:r>
      <w:r>
        <w:t xml:space="preserve"> </w:t>
      </w:r>
      <w:r w:rsidR="00D8599C">
        <w:t xml:space="preserve">Denying women under guardianship the ability to choose their residence </w:t>
      </w:r>
      <w:r w:rsidR="001E7DDC">
        <w:t xml:space="preserve">infringes on this right. </w:t>
      </w:r>
    </w:p>
    <w:p w14:paraId="0023FA62" w14:textId="77777777" w:rsidR="009725F4" w:rsidRDefault="009725F4" w:rsidP="00F0673F">
      <w:pPr>
        <w:jc w:val="both"/>
      </w:pPr>
    </w:p>
    <w:p w14:paraId="297E1F2E" w14:textId="77777777" w:rsidR="009B7B85" w:rsidRDefault="009B7B85" w:rsidP="00F0673F">
      <w:pPr>
        <w:jc w:val="both"/>
      </w:pPr>
    </w:p>
    <w:p w14:paraId="3435EC95" w14:textId="667EF87B" w:rsidR="009725F4" w:rsidRPr="00C769E7" w:rsidRDefault="009725F4" w:rsidP="00F0673F">
      <w:pPr>
        <w:ind w:left="720" w:hanging="720"/>
        <w:jc w:val="both"/>
        <w:rPr>
          <w:b/>
        </w:rPr>
      </w:pPr>
      <w:r w:rsidRPr="00C769E7">
        <w:rPr>
          <w:b/>
        </w:rPr>
        <w:t xml:space="preserve">III. </w:t>
      </w:r>
      <w:r w:rsidR="009B7B85">
        <w:rPr>
          <w:b/>
        </w:rPr>
        <w:tab/>
      </w:r>
      <w:r w:rsidRPr="00C769E7">
        <w:rPr>
          <w:b/>
        </w:rPr>
        <w:t xml:space="preserve">Women with disabilities in Colombia encounter </w:t>
      </w:r>
      <w:r w:rsidR="00A0481F" w:rsidRPr="00C769E7">
        <w:rPr>
          <w:b/>
        </w:rPr>
        <w:t xml:space="preserve">barriers to realizing other ESC rights, including </w:t>
      </w:r>
      <w:r w:rsidR="00411037">
        <w:rPr>
          <w:b/>
        </w:rPr>
        <w:t xml:space="preserve">sexual and reproductive health (art. 12), </w:t>
      </w:r>
      <w:r w:rsidR="00A0481F" w:rsidRPr="00C769E7">
        <w:rPr>
          <w:b/>
        </w:rPr>
        <w:t xml:space="preserve">education (art. 13), </w:t>
      </w:r>
      <w:r w:rsidR="00411037">
        <w:rPr>
          <w:b/>
        </w:rPr>
        <w:t xml:space="preserve">and </w:t>
      </w:r>
      <w:r w:rsidR="00A0481F" w:rsidRPr="00C769E7">
        <w:rPr>
          <w:b/>
        </w:rPr>
        <w:t xml:space="preserve">employment </w:t>
      </w:r>
      <w:r w:rsidR="00411037">
        <w:rPr>
          <w:b/>
        </w:rPr>
        <w:t>(art. 7)</w:t>
      </w:r>
    </w:p>
    <w:p w14:paraId="7F4925A3" w14:textId="77777777" w:rsidR="009725F4" w:rsidRDefault="009725F4" w:rsidP="00F0673F">
      <w:pPr>
        <w:jc w:val="both"/>
      </w:pPr>
    </w:p>
    <w:p w14:paraId="109E962E" w14:textId="14C75689" w:rsidR="00C769E7" w:rsidRDefault="00E27C99" w:rsidP="00F0673F">
      <w:pPr>
        <w:jc w:val="both"/>
      </w:pPr>
      <w:r>
        <w:t xml:space="preserve">Colombian women with disabilities—both those under plenary guardianship and those who are not under guardianship—encounter </w:t>
      </w:r>
      <w:r w:rsidR="00411037">
        <w:t xml:space="preserve">discriminatory </w:t>
      </w:r>
      <w:r>
        <w:t xml:space="preserve">barriers to </w:t>
      </w:r>
      <w:r w:rsidR="00411037">
        <w:t>accessing sexual and reproductive health services, education (including sexuality education), and employment, violating fundamental rights protected under the ICESCR.</w:t>
      </w:r>
    </w:p>
    <w:p w14:paraId="4AD376BE" w14:textId="77777777" w:rsidR="00C769E7" w:rsidRDefault="00C769E7" w:rsidP="00F0673F">
      <w:pPr>
        <w:jc w:val="both"/>
      </w:pPr>
    </w:p>
    <w:p w14:paraId="333AF7C6" w14:textId="4EC09455" w:rsidR="00411037" w:rsidRDefault="008067B6" w:rsidP="00F0673F">
      <w:pPr>
        <w:pStyle w:val="ListParagraph"/>
        <w:numPr>
          <w:ilvl w:val="1"/>
          <w:numId w:val="32"/>
        </w:numPr>
        <w:rPr>
          <w:b/>
          <w:sz w:val="24"/>
          <w:szCs w:val="24"/>
        </w:rPr>
      </w:pPr>
      <w:r>
        <w:rPr>
          <w:b/>
          <w:sz w:val="24"/>
          <w:szCs w:val="24"/>
        </w:rPr>
        <w:t>Health, including s</w:t>
      </w:r>
      <w:r w:rsidR="00411037">
        <w:rPr>
          <w:b/>
          <w:sz w:val="24"/>
          <w:szCs w:val="24"/>
        </w:rPr>
        <w:t xml:space="preserve">exual and reproductive health </w:t>
      </w:r>
    </w:p>
    <w:p w14:paraId="3E4F71FA" w14:textId="77777777" w:rsidR="00411037" w:rsidRDefault="00411037" w:rsidP="00F0673F">
      <w:pPr>
        <w:pStyle w:val="ListParagraph"/>
        <w:rPr>
          <w:b/>
          <w:sz w:val="24"/>
          <w:szCs w:val="24"/>
        </w:rPr>
      </w:pPr>
    </w:p>
    <w:p w14:paraId="17398EC1" w14:textId="0A228E3A" w:rsidR="00843597" w:rsidRDefault="000453EA" w:rsidP="00F0673F">
      <w:pPr>
        <w:jc w:val="both"/>
        <w:rPr>
          <w:lang w:val="en-GB"/>
        </w:rPr>
      </w:pPr>
      <w:r>
        <w:rPr>
          <w:rFonts w:ascii="Times" w:hAnsi="Times"/>
          <w:color w:val="212121"/>
          <w:shd w:val="clear" w:color="auto" w:fill="FFFFFF"/>
        </w:rPr>
        <w:t xml:space="preserve">Women with disabilities in Colombia are not only at a heightened risk for forced sterilization; they also face </w:t>
      </w:r>
      <w:r w:rsidR="007A4FFE">
        <w:rPr>
          <w:rFonts w:ascii="Times" w:hAnsi="Times"/>
          <w:color w:val="212121"/>
          <w:shd w:val="clear" w:color="auto" w:fill="FFFFFF"/>
        </w:rPr>
        <w:t>routine</w:t>
      </w:r>
      <w:r>
        <w:rPr>
          <w:rFonts w:ascii="Times" w:hAnsi="Times"/>
          <w:color w:val="212121"/>
          <w:shd w:val="clear" w:color="auto" w:fill="FFFFFF"/>
        </w:rPr>
        <w:t xml:space="preserve"> discrimination in accessing sexual and reproductive health services. </w:t>
      </w:r>
      <w:r w:rsidR="00B02C0C">
        <w:rPr>
          <w:rFonts w:ascii="Times" w:hAnsi="Times"/>
          <w:color w:val="212121"/>
          <w:shd w:val="clear" w:color="auto" w:fill="FFFFFF"/>
        </w:rPr>
        <w:t xml:space="preserve">Around the world, </w:t>
      </w:r>
      <w:r w:rsidR="00B02C0C" w:rsidRPr="00681D09">
        <w:t xml:space="preserve">women and girls with disabilities frequently lack accessible </w:t>
      </w:r>
      <w:r w:rsidR="00B02C0C">
        <w:t xml:space="preserve">sexual and </w:t>
      </w:r>
      <w:r w:rsidR="00B02C0C" w:rsidRPr="00681D09">
        <w:t xml:space="preserve">reproductive health </w:t>
      </w:r>
      <w:r w:rsidR="00B02C0C">
        <w:t>information, goods, and</w:t>
      </w:r>
      <w:r w:rsidR="00B02C0C" w:rsidRPr="00681D09">
        <w:t xml:space="preserve"> services, resulting in a lack of sup</w:t>
      </w:r>
      <w:r w:rsidR="004D1E2B">
        <w:t>port for a wide range of sexual and reproductive health issues</w:t>
      </w:r>
      <w:r w:rsidR="00B02C0C" w:rsidRPr="00681D09">
        <w:t>.</w:t>
      </w:r>
      <w:r w:rsidR="00B02C0C" w:rsidRPr="00681D09">
        <w:rPr>
          <w:rStyle w:val="EndnoteReference"/>
        </w:rPr>
        <w:endnoteReference w:id="58"/>
      </w:r>
      <w:r w:rsidR="00B02C0C" w:rsidRPr="00681D09">
        <w:t xml:space="preserve"> </w:t>
      </w:r>
      <w:r w:rsidR="00B02C0C" w:rsidRPr="00681D09">
        <w:rPr>
          <w:lang w:val="en-GB"/>
        </w:rPr>
        <w:t>Common barriers include lack of training or awareness</w:t>
      </w:r>
      <w:r w:rsidR="003103EA">
        <w:rPr>
          <w:lang w:val="en-GB"/>
        </w:rPr>
        <w:t>-</w:t>
      </w:r>
      <w:r w:rsidR="00B02C0C" w:rsidRPr="00681D09">
        <w:rPr>
          <w:lang w:val="en-GB"/>
        </w:rPr>
        <w:t>raising among service providers on how to serve people with disabilities,</w:t>
      </w:r>
      <w:r w:rsidR="00B02C0C" w:rsidRPr="00681D09">
        <w:rPr>
          <w:vertAlign w:val="superscript"/>
          <w:lang w:val="en-GB"/>
        </w:rPr>
        <w:endnoteReference w:id="59"/>
      </w:r>
      <w:r w:rsidR="00B02C0C" w:rsidRPr="00681D09">
        <w:rPr>
          <w:lang w:val="en-GB"/>
        </w:rPr>
        <w:t xml:space="preserve"> </w:t>
      </w:r>
      <w:r w:rsidR="00B02C0C" w:rsidRPr="00681D09">
        <w:rPr>
          <w:color w:val="131313"/>
        </w:rPr>
        <w:t xml:space="preserve">laws and policies that diminish </w:t>
      </w:r>
      <w:r w:rsidR="00B02C0C">
        <w:rPr>
          <w:color w:val="131313"/>
        </w:rPr>
        <w:t>personal</w:t>
      </w:r>
      <w:r w:rsidR="00B02C0C" w:rsidRPr="00681D09">
        <w:rPr>
          <w:color w:val="131313"/>
        </w:rPr>
        <w:t xml:space="preserve"> autonomy;</w:t>
      </w:r>
      <w:r w:rsidR="00B02C0C">
        <w:rPr>
          <w:color w:val="131313"/>
        </w:rPr>
        <w:t xml:space="preserve"> </w:t>
      </w:r>
      <w:r w:rsidR="00B02C0C" w:rsidRPr="00681D09">
        <w:rPr>
          <w:lang w:val="en-GB"/>
        </w:rPr>
        <w:t>failure to consider disability-related accessibility in developing programmes or building service facilities;</w:t>
      </w:r>
      <w:r w:rsidR="00B02C0C" w:rsidRPr="00681D09">
        <w:rPr>
          <w:vertAlign w:val="superscript"/>
          <w:lang w:val="en-GB"/>
        </w:rPr>
        <w:endnoteReference w:id="60"/>
      </w:r>
      <w:r w:rsidR="00B02C0C" w:rsidRPr="00681D09">
        <w:rPr>
          <w:color w:val="131313"/>
        </w:rPr>
        <w:t xml:space="preserve"> communication barriers (including</w:t>
      </w:r>
      <w:r w:rsidR="00B02C0C">
        <w:rPr>
          <w:color w:val="131313"/>
        </w:rPr>
        <w:t xml:space="preserve"> both</w:t>
      </w:r>
      <w:r w:rsidR="00B02C0C" w:rsidRPr="00681D09">
        <w:rPr>
          <w:color w:val="131313"/>
        </w:rPr>
        <w:t xml:space="preserve"> provider inability to </w:t>
      </w:r>
      <w:r w:rsidR="00B02C0C">
        <w:rPr>
          <w:color w:val="131313"/>
        </w:rPr>
        <w:t xml:space="preserve">communicate and </w:t>
      </w:r>
      <w:r w:rsidR="00B02C0C" w:rsidRPr="00681D09">
        <w:rPr>
          <w:color w:val="131313"/>
        </w:rPr>
        <w:t xml:space="preserve">lack of information available in alternative formats (e.g., </w:t>
      </w:r>
      <w:r w:rsidR="00B02C0C" w:rsidRPr="00681D09">
        <w:t xml:space="preserve">Braille, audio, plain and simple language, </w:t>
      </w:r>
      <w:r w:rsidR="00B02C0C">
        <w:t xml:space="preserve">and </w:t>
      </w:r>
      <w:r w:rsidR="00B02C0C" w:rsidRPr="00681D09">
        <w:t>sign language interpreters</w:t>
      </w:r>
      <w:r w:rsidR="00B02C0C" w:rsidRPr="00681D09">
        <w:rPr>
          <w:color w:val="131313"/>
        </w:rPr>
        <w:t>);</w:t>
      </w:r>
      <w:r w:rsidR="00B02C0C" w:rsidRPr="00681D09">
        <w:rPr>
          <w:lang w:val="en-GB"/>
        </w:rPr>
        <w:t xml:space="preserve"> </w:t>
      </w:r>
      <w:r w:rsidR="00B02C0C" w:rsidRPr="00681D09">
        <w:rPr>
          <w:color w:val="131313"/>
        </w:rPr>
        <w:t>parents</w:t>
      </w:r>
      <w:r w:rsidR="00B02C0C">
        <w:rPr>
          <w:color w:val="131313"/>
        </w:rPr>
        <w:t xml:space="preserve">, </w:t>
      </w:r>
      <w:r w:rsidR="00B02C0C" w:rsidRPr="00681D09">
        <w:rPr>
          <w:color w:val="131313"/>
        </w:rPr>
        <w:t>caregivers</w:t>
      </w:r>
      <w:r w:rsidR="00B02C0C">
        <w:rPr>
          <w:color w:val="131313"/>
        </w:rPr>
        <w:t>, or guardians</w:t>
      </w:r>
      <w:r w:rsidR="00B02C0C" w:rsidRPr="00681D09">
        <w:rPr>
          <w:color w:val="131313"/>
        </w:rPr>
        <w:t xml:space="preserve"> acting as gatekeepers to SRHR information and services; heightened risk of poverty;</w:t>
      </w:r>
      <w:r w:rsidR="00B02C0C" w:rsidRPr="00681D09">
        <w:rPr>
          <w:lang w:val="en-GB"/>
        </w:rPr>
        <w:t xml:space="preserve"> </w:t>
      </w:r>
      <w:r w:rsidR="00B02C0C" w:rsidRPr="00681D09">
        <w:rPr>
          <w:color w:val="131313"/>
        </w:rPr>
        <w:t>and</w:t>
      </w:r>
      <w:r w:rsidR="00B02C0C" w:rsidRPr="00681D09">
        <w:rPr>
          <w:lang w:val="en-GB"/>
        </w:rPr>
        <w:t xml:space="preserve"> isolation of women and </w:t>
      </w:r>
      <w:r w:rsidR="00B02C0C">
        <w:rPr>
          <w:lang w:val="en-GB"/>
        </w:rPr>
        <w:t>girls</w:t>
      </w:r>
      <w:r w:rsidR="00B02C0C" w:rsidRPr="00681D09">
        <w:rPr>
          <w:lang w:val="en-GB"/>
        </w:rPr>
        <w:t xml:space="preserve"> with disabilities in institutions.</w:t>
      </w:r>
      <w:r w:rsidR="00B02C0C" w:rsidRPr="00681D09">
        <w:rPr>
          <w:vertAlign w:val="superscript"/>
          <w:lang w:val="en-GB"/>
        </w:rPr>
        <w:endnoteReference w:id="61"/>
      </w:r>
      <w:r w:rsidR="00B02C0C">
        <w:rPr>
          <w:lang w:val="en-GB"/>
        </w:rPr>
        <w:t xml:space="preserve"> </w:t>
      </w:r>
      <w:r w:rsidR="00B02C0C" w:rsidRPr="00681D09">
        <w:t xml:space="preserve">Pervasive harmful stereotypes </w:t>
      </w:r>
      <w:r w:rsidR="00B02C0C" w:rsidRPr="00681D09">
        <w:rPr>
          <w:lang w:val="en-GB"/>
        </w:rPr>
        <w:t>about young women and girls with disabilities—for instance that they are asexual, cannot become pregnant, or are not capable of parenting—can lead providers to assume they do not need access to SRHR information.</w:t>
      </w:r>
      <w:r w:rsidR="00B02C0C" w:rsidRPr="00681D09">
        <w:rPr>
          <w:vertAlign w:val="superscript"/>
        </w:rPr>
        <w:endnoteReference w:id="62"/>
      </w:r>
    </w:p>
    <w:p w14:paraId="09D33740" w14:textId="77777777" w:rsidR="00B02C0C" w:rsidRDefault="00B02C0C" w:rsidP="00F0673F">
      <w:pPr>
        <w:jc w:val="both"/>
        <w:rPr>
          <w:lang w:val="en-GB"/>
        </w:rPr>
      </w:pPr>
    </w:p>
    <w:p w14:paraId="202B4DE2" w14:textId="4E9B3329" w:rsidR="008067B6" w:rsidRPr="008067B6" w:rsidRDefault="00B02C0C" w:rsidP="00F0673F">
      <w:pPr>
        <w:jc w:val="both"/>
      </w:pPr>
      <w:r>
        <w:rPr>
          <w:lang w:val="en-GB"/>
        </w:rPr>
        <w:t xml:space="preserve">Through its work providing sexual and reproductive health services to women and girls with disabilities in Colombia, </w:t>
      </w:r>
      <w:proofErr w:type="spellStart"/>
      <w:r>
        <w:rPr>
          <w:lang w:val="en-GB"/>
        </w:rPr>
        <w:t>Profamilia</w:t>
      </w:r>
      <w:proofErr w:type="spellEnd"/>
      <w:r>
        <w:rPr>
          <w:lang w:val="en-GB"/>
        </w:rPr>
        <w:t xml:space="preserve"> </w:t>
      </w:r>
      <w:r w:rsidRPr="000453EA">
        <w:rPr>
          <w:rFonts w:ascii="Times" w:hAnsi="Times"/>
          <w:color w:val="212121"/>
          <w:shd w:val="clear" w:color="auto" w:fill="FFFFFF"/>
        </w:rPr>
        <w:t xml:space="preserve">has </w:t>
      </w:r>
      <w:r>
        <w:rPr>
          <w:rFonts w:ascii="Times" w:hAnsi="Times"/>
          <w:color w:val="212121"/>
          <w:shd w:val="clear" w:color="auto" w:fill="FFFFFF"/>
        </w:rPr>
        <w:t>observed</w:t>
      </w:r>
      <w:r w:rsidRPr="000453EA">
        <w:rPr>
          <w:rFonts w:ascii="Times" w:hAnsi="Times"/>
          <w:color w:val="212121"/>
          <w:shd w:val="clear" w:color="auto" w:fill="FFFFFF"/>
        </w:rPr>
        <w:t xml:space="preserve"> </w:t>
      </w:r>
      <w:r>
        <w:rPr>
          <w:rFonts w:ascii="Times" w:hAnsi="Times"/>
          <w:color w:val="212121"/>
          <w:shd w:val="clear" w:color="auto" w:fill="FFFFFF"/>
        </w:rPr>
        <w:t xml:space="preserve">the harmful impact that </w:t>
      </w:r>
      <w:r w:rsidR="00896E8F">
        <w:rPr>
          <w:rFonts w:ascii="Times" w:hAnsi="Times"/>
          <w:color w:val="212121"/>
          <w:shd w:val="clear" w:color="auto" w:fill="FFFFFF"/>
        </w:rPr>
        <w:t xml:space="preserve">the </w:t>
      </w:r>
      <w:r>
        <w:rPr>
          <w:rFonts w:ascii="Times" w:hAnsi="Times"/>
          <w:color w:val="212121"/>
          <w:shd w:val="clear" w:color="auto" w:fill="FFFFFF"/>
        </w:rPr>
        <w:t xml:space="preserve">lack of access to sexual and reproductive health services and lack of accessible sexuality education </w:t>
      </w:r>
      <w:r w:rsidR="00896E8F">
        <w:rPr>
          <w:rFonts w:ascii="Times" w:hAnsi="Times"/>
          <w:color w:val="212121"/>
          <w:shd w:val="clear" w:color="auto" w:fill="FFFFFF"/>
        </w:rPr>
        <w:t>carries for</w:t>
      </w:r>
      <w:r w:rsidRPr="000453EA">
        <w:rPr>
          <w:rFonts w:ascii="Times" w:hAnsi="Times"/>
          <w:color w:val="212121"/>
          <w:shd w:val="clear" w:color="auto" w:fill="FFFFFF"/>
        </w:rPr>
        <w:t xml:space="preserve"> women with disabilities </w:t>
      </w:r>
      <w:r w:rsidR="007A4FFE">
        <w:rPr>
          <w:rFonts w:ascii="Times" w:hAnsi="Times"/>
          <w:color w:val="212121"/>
          <w:shd w:val="clear" w:color="auto" w:fill="FFFFFF"/>
        </w:rPr>
        <w:t xml:space="preserve">in Colombia. These harms include </w:t>
      </w:r>
      <w:r w:rsidRPr="00113872">
        <w:t>higher maternal and perinatal morbidity and mortality, the prevalence of sexually trans</w:t>
      </w:r>
      <w:r w:rsidR="007A4FFE">
        <w:t>mitted infections</w:t>
      </w:r>
      <w:r w:rsidRPr="00113872">
        <w:t xml:space="preserve"> </w:t>
      </w:r>
      <w:r w:rsidR="007A4FFE">
        <w:t>(</w:t>
      </w:r>
      <w:r w:rsidRPr="00113872">
        <w:t>including HIV</w:t>
      </w:r>
      <w:r w:rsidR="007A4FFE">
        <w:t>)</w:t>
      </w:r>
      <w:r w:rsidRPr="00113872">
        <w:t>, cervical and breast cancer</w:t>
      </w:r>
      <w:r w:rsidR="007A4FFE">
        <w:t>,</w:t>
      </w:r>
      <w:r w:rsidRPr="00113872">
        <w:t xml:space="preserve"> and sexual violence</w:t>
      </w:r>
      <w:r>
        <w:t>.</w:t>
      </w:r>
      <w:r>
        <w:rPr>
          <w:rStyle w:val="EndnoteReference"/>
        </w:rPr>
        <w:endnoteReference w:id="63"/>
      </w:r>
      <w:r w:rsidR="00B261BE">
        <w:t xml:space="preserve"> </w:t>
      </w:r>
      <w:proofErr w:type="spellStart"/>
      <w:r w:rsidR="00B261BE">
        <w:t>Bubulina</w:t>
      </w:r>
      <w:proofErr w:type="spellEnd"/>
      <w:r w:rsidR="00B261BE">
        <w:t xml:space="preserve"> Moreno, the spokeswoman of </w:t>
      </w:r>
      <w:proofErr w:type="spellStart"/>
      <w:r w:rsidR="00B261BE">
        <w:t>Colectiva</w:t>
      </w:r>
      <w:proofErr w:type="spellEnd"/>
      <w:r w:rsidR="00B261BE">
        <w:t xml:space="preserve"> </w:t>
      </w:r>
      <w:proofErr w:type="spellStart"/>
      <w:r w:rsidR="00B261BE">
        <w:t>Polimorfas</w:t>
      </w:r>
      <w:proofErr w:type="spellEnd"/>
      <w:r w:rsidR="00B261BE">
        <w:t xml:space="preserve"> and a woman with a physical disability, described the physical and attitudinal barriers that she encounters when she goes to the doctor for her Pap exams. Ms. Moreno is never assigned to an accessible exam room, a</w:t>
      </w:r>
      <w:r w:rsidR="007A4FFE">
        <w:t xml:space="preserve">nd the examination tables are </w:t>
      </w:r>
      <w:r w:rsidR="00B261BE">
        <w:t xml:space="preserve">too high </w:t>
      </w:r>
      <w:r w:rsidR="00B261BE">
        <w:lastRenderedPageBreak/>
        <w:t>for her to access. Nurses typically ask</w:t>
      </w:r>
      <w:r w:rsidR="007A4FFE">
        <w:t xml:space="preserve"> security guards to lift</w:t>
      </w:r>
      <w:r w:rsidR="00B261BE">
        <w:t xml:space="preserve"> Ms. Moreno on to the examination table, something that she despises. In addition, doctors are rough with Ms. Moreno’s body, such that her Pap exams often result in pain and bleeding. She further notes that “the nurses always ask very intimate questions in front of my mom, disregarding completely my privacy.”</w:t>
      </w:r>
      <w:r w:rsidR="00B261BE">
        <w:rPr>
          <w:rStyle w:val="EndnoteReference"/>
        </w:rPr>
        <w:endnoteReference w:id="64"/>
      </w:r>
      <w:r w:rsidR="00B261BE">
        <w:t xml:space="preserve"> </w:t>
      </w:r>
      <w:r w:rsidR="009B7B85">
        <w:t xml:space="preserve"> </w:t>
      </w:r>
    </w:p>
    <w:p w14:paraId="3857A8C6" w14:textId="77777777" w:rsidR="008067B6" w:rsidRDefault="008067B6" w:rsidP="00F0673F">
      <w:pPr>
        <w:jc w:val="both"/>
      </w:pPr>
    </w:p>
    <w:p w14:paraId="128169C9" w14:textId="52A57C01" w:rsidR="001B40C5" w:rsidRDefault="00B261BE" w:rsidP="00F0673F">
      <w:pPr>
        <w:jc w:val="both"/>
      </w:pPr>
      <w:r>
        <w:t>In both General Comment No. 14 and General Comment No. 22, the ESCR Committee has emphasized that health services, including sexual and reproductive health services, must be available, accessible, acceptable, and of good quality.</w:t>
      </w:r>
      <w:r w:rsidR="003B6F0E" w:rsidRPr="003B6F0E">
        <w:rPr>
          <w:rStyle w:val="EndnoteReference"/>
          <w:lang w:val="en-GB"/>
        </w:rPr>
        <w:t xml:space="preserve"> </w:t>
      </w:r>
      <w:r w:rsidR="003B6F0E" w:rsidRPr="00681D09">
        <w:rPr>
          <w:rStyle w:val="EndnoteReference"/>
          <w:lang w:val="en-GB"/>
        </w:rPr>
        <w:endnoteReference w:id="65"/>
      </w:r>
      <w:r w:rsidR="003B6F0E">
        <w:rPr>
          <w:lang w:val="en-GB"/>
        </w:rPr>
        <w:t xml:space="preserve"> </w:t>
      </w:r>
      <w:r w:rsidR="003103EA">
        <w:t>The ESCR Committee has</w:t>
      </w:r>
      <w:r w:rsidR="003B6F0E">
        <w:t xml:space="preserve"> </w:t>
      </w:r>
      <w:r w:rsidR="00163E7D">
        <w:t>gone on to explain</w:t>
      </w:r>
      <w:r w:rsidR="003B6F0E">
        <w:t xml:space="preserve"> that in order to be acceptable, all SRH services, facilities, goods, and information must be sensitive to disability.</w:t>
      </w:r>
      <w:r w:rsidR="003B6F0E" w:rsidRPr="00681D09">
        <w:rPr>
          <w:rStyle w:val="EndnoteReference"/>
          <w:lang w:val="en-GB"/>
        </w:rPr>
        <w:endnoteReference w:id="66"/>
      </w:r>
      <w:r w:rsidR="003B6F0E">
        <w:t xml:space="preserve"> </w:t>
      </w:r>
      <w:r w:rsidR="003103EA">
        <w:t xml:space="preserve">In </w:t>
      </w:r>
      <w:r w:rsidR="003B6F0E">
        <w:t>General Comment No. 22</w:t>
      </w:r>
      <w:r w:rsidR="003103EA">
        <w:t>, the ESCR Committee</w:t>
      </w:r>
      <w:r w:rsidR="003B6F0E">
        <w:t xml:space="preserve"> </w:t>
      </w:r>
      <w:r w:rsidR="003103EA">
        <w:t xml:space="preserve">further emphasizes that, in order to meet their obligation to fulfil the right to sexual and reproductive health, States must take steps to eliminate both practical and social barriers to sexual and reproductive health services </w:t>
      </w:r>
      <w:r w:rsidR="003103EA" w:rsidRPr="00681D09">
        <w:t>to ensure that “[s]</w:t>
      </w:r>
      <w:proofErr w:type="spellStart"/>
      <w:r w:rsidR="003103EA" w:rsidRPr="00681D09">
        <w:t>ocial</w:t>
      </w:r>
      <w:proofErr w:type="spellEnd"/>
      <w:r w:rsidR="003103EA" w:rsidRPr="00681D09">
        <w:t xml:space="preserve"> misconceptions, prejudices and taboos … do not obstruct an individual’s enjoyment of the right to sexual and reproductive health.”</w:t>
      </w:r>
      <w:r w:rsidR="003103EA" w:rsidRPr="00681D09">
        <w:rPr>
          <w:rStyle w:val="EndnoteReference"/>
        </w:rPr>
        <w:endnoteReference w:id="67"/>
      </w:r>
      <w:r w:rsidR="003103EA">
        <w:t xml:space="preserve"> In its concluding observations, t</w:t>
      </w:r>
      <w:r w:rsidR="003103EA" w:rsidRPr="003103EA">
        <w:t>he ESCR Committee has frequently expressed concern where communities</w:t>
      </w:r>
      <w:r w:rsidR="003103EA">
        <w:t xml:space="preserve">, including </w:t>
      </w:r>
      <w:r w:rsidR="003103EA" w:rsidRPr="003103EA">
        <w:t>persons with disabilities,</w:t>
      </w:r>
      <w:r w:rsidR="003103EA" w:rsidRPr="003103EA">
        <w:rPr>
          <w:vertAlign w:val="superscript"/>
        </w:rPr>
        <w:endnoteReference w:id="68"/>
      </w:r>
      <w:r w:rsidR="003103EA" w:rsidRPr="003103EA">
        <w:t xml:space="preserve"> lack access to sexual and reproductive health information and services</w:t>
      </w:r>
      <w:r w:rsidR="003103EA">
        <w:t>,</w:t>
      </w:r>
      <w:r w:rsidR="003103EA" w:rsidRPr="003103EA">
        <w:rPr>
          <w:vertAlign w:val="superscript"/>
        </w:rPr>
        <w:endnoteReference w:id="69"/>
      </w:r>
      <w:r w:rsidR="003103EA" w:rsidRPr="003103EA">
        <w:t xml:space="preserve"> </w:t>
      </w:r>
      <w:r w:rsidR="003103EA">
        <w:t xml:space="preserve">and </w:t>
      </w:r>
      <w:r w:rsidR="003103EA" w:rsidRPr="003103EA">
        <w:t>has recommended that States take steps to ensure and enhance access to sexual and reproductive health information, education, and services particularly for different groups of women.</w:t>
      </w:r>
      <w:r w:rsidR="003103EA" w:rsidRPr="003103EA">
        <w:rPr>
          <w:vertAlign w:val="superscript"/>
        </w:rPr>
        <w:endnoteReference w:id="70"/>
      </w:r>
      <w:r w:rsidR="003103EA" w:rsidRPr="00681D09">
        <w:t> </w:t>
      </w:r>
    </w:p>
    <w:p w14:paraId="414D6E87" w14:textId="77777777" w:rsidR="001B40C5" w:rsidRDefault="001B40C5" w:rsidP="00F0673F">
      <w:pPr>
        <w:jc w:val="both"/>
      </w:pPr>
    </w:p>
    <w:p w14:paraId="571122F1" w14:textId="1CB077CA" w:rsidR="00411037" w:rsidRPr="004D1E2B" w:rsidRDefault="004D1E2B" w:rsidP="00F0673F">
      <w:pPr>
        <w:jc w:val="both"/>
        <w:rPr>
          <w:rFonts w:ascii="Times" w:hAnsi="Times"/>
          <w:color w:val="000000"/>
        </w:rPr>
      </w:pPr>
      <w:r>
        <w:rPr>
          <w:rFonts w:ascii="Times" w:eastAsia="Times" w:hAnsi="Times" w:cs="Times"/>
        </w:rPr>
        <w:t xml:space="preserve">The CRPD Committee recognized that women with disabilities lack access to sexual and reproductive health services in Colombia </w:t>
      </w:r>
      <w:r w:rsidRPr="003243CB">
        <w:rPr>
          <w:rFonts w:ascii="Times" w:eastAsia="Times" w:hAnsi="Times" w:cs="Times"/>
        </w:rPr>
        <w:t xml:space="preserve">in their most recent </w:t>
      </w:r>
      <w:r>
        <w:rPr>
          <w:rFonts w:ascii="Times" w:eastAsia="Times" w:hAnsi="Times" w:cs="Times"/>
        </w:rPr>
        <w:t xml:space="preserve">periodic </w:t>
      </w:r>
      <w:r w:rsidRPr="003243CB">
        <w:rPr>
          <w:rFonts w:ascii="Times" w:eastAsia="Times" w:hAnsi="Times" w:cs="Times"/>
        </w:rPr>
        <w:t xml:space="preserve">reviews of </w:t>
      </w:r>
      <w:r>
        <w:rPr>
          <w:rFonts w:ascii="Times" w:eastAsia="Times" w:hAnsi="Times" w:cs="Times"/>
        </w:rPr>
        <w:t>the State</w:t>
      </w:r>
      <w:r w:rsidRPr="003243CB">
        <w:rPr>
          <w:rFonts w:ascii="Times" w:eastAsia="Times" w:hAnsi="Times" w:cs="Times"/>
        </w:rPr>
        <w:t>. In 2016</w:t>
      </w:r>
      <w:r>
        <w:rPr>
          <w:rFonts w:ascii="Times" w:eastAsia="Times" w:hAnsi="Times" w:cs="Times"/>
        </w:rPr>
        <w:t>,</w:t>
      </w:r>
      <w:r w:rsidRPr="003243CB">
        <w:rPr>
          <w:rFonts w:ascii="Times" w:eastAsia="Times" w:hAnsi="Times" w:cs="Times"/>
        </w:rPr>
        <w:t xml:space="preserve"> the CRPD Committee expressed concern</w:t>
      </w:r>
      <w:r>
        <w:rPr>
          <w:rFonts w:ascii="Times" w:eastAsia="Times" w:hAnsi="Times" w:cs="Times"/>
        </w:rPr>
        <w:t xml:space="preserve"> to Colombia about both “[t]he </w:t>
      </w:r>
      <w:r w:rsidRPr="004D1E2B">
        <w:rPr>
          <w:rFonts w:ascii="Times" w:hAnsi="Times"/>
          <w:color w:val="000000"/>
        </w:rPr>
        <w:t>lack of accessibility in the provision of sexual and reproductive health services</w:t>
      </w:r>
      <w:r>
        <w:rPr>
          <w:rFonts w:ascii="Times" w:hAnsi="Times"/>
          <w:color w:val="000000"/>
        </w:rPr>
        <w:t>” and “[t]</w:t>
      </w:r>
      <w:r w:rsidRPr="004D1E2B">
        <w:rPr>
          <w:rFonts w:ascii="Times" w:hAnsi="Times"/>
          <w:color w:val="000000"/>
        </w:rPr>
        <w:t>he prejudice and negative attitudes of health-care service providers</w:t>
      </w:r>
      <w:r>
        <w:rPr>
          <w:rFonts w:ascii="Times" w:hAnsi="Times"/>
          <w:color w:val="000000"/>
        </w:rPr>
        <w:t>,” calling on the government to train health care workers on the rights of persons with disabilities and to take necessary steps to ensure that health care services are accessible to persons with disabilities.</w:t>
      </w:r>
      <w:r>
        <w:rPr>
          <w:rStyle w:val="EndnoteReference"/>
          <w:rFonts w:ascii="Times" w:hAnsi="Times"/>
          <w:color w:val="000000"/>
        </w:rPr>
        <w:endnoteReference w:id="71"/>
      </w:r>
      <w:r>
        <w:rPr>
          <w:rFonts w:ascii="Times" w:hAnsi="Times"/>
          <w:color w:val="000000"/>
        </w:rPr>
        <w:t xml:space="preserve"> </w:t>
      </w:r>
      <w:r>
        <w:rPr>
          <w:rFonts w:ascii="Times" w:eastAsia="Times" w:hAnsi="Times" w:cs="Times"/>
        </w:rPr>
        <w:t>Barriers for women with disabilities to access sexual and reproductive health services similarly violates the State’s obligations under article 12 of the ICESCR.</w:t>
      </w:r>
    </w:p>
    <w:p w14:paraId="7B39A50F" w14:textId="77777777" w:rsidR="003B6F0E" w:rsidRDefault="003B6F0E" w:rsidP="00F0673F">
      <w:pPr>
        <w:jc w:val="both"/>
        <w:rPr>
          <w:b/>
        </w:rPr>
      </w:pPr>
    </w:p>
    <w:p w14:paraId="57949E87" w14:textId="77777777" w:rsidR="002275E6" w:rsidRPr="00C769E7" w:rsidRDefault="002275E6" w:rsidP="00F0673F">
      <w:pPr>
        <w:pStyle w:val="ListParagraph"/>
        <w:numPr>
          <w:ilvl w:val="1"/>
          <w:numId w:val="32"/>
        </w:numPr>
        <w:rPr>
          <w:b/>
          <w:sz w:val="24"/>
          <w:szCs w:val="24"/>
        </w:rPr>
      </w:pPr>
      <w:r w:rsidRPr="00C769E7">
        <w:rPr>
          <w:b/>
          <w:sz w:val="24"/>
          <w:szCs w:val="24"/>
        </w:rPr>
        <w:t>Education</w:t>
      </w:r>
    </w:p>
    <w:p w14:paraId="7B9294CE" w14:textId="77777777" w:rsidR="002275E6" w:rsidRDefault="002275E6" w:rsidP="002275E6"/>
    <w:p w14:paraId="41639507" w14:textId="77777777" w:rsidR="002275E6" w:rsidRDefault="002275E6" w:rsidP="002275E6">
      <w:pPr>
        <w:ind w:firstLine="720"/>
        <w:jc w:val="center"/>
        <w:rPr>
          <w:i/>
        </w:rPr>
      </w:pPr>
      <w:r>
        <w:rPr>
          <w:i/>
        </w:rPr>
        <w:t>“After finishing primary school I had to move to the only school close to my house that had high school. They refused to accept me arguing that they did not have adequate infrastructure for children with wheelchairs and that accepting me would be a problem for them. I could not finish high school until I was 34 years old and under my own initiative.”</w:t>
      </w:r>
    </w:p>
    <w:p w14:paraId="2459007E" w14:textId="77777777" w:rsidR="002275E6" w:rsidRDefault="002275E6" w:rsidP="002275E6">
      <w:pPr>
        <w:jc w:val="center"/>
      </w:pPr>
      <w:r>
        <w:t xml:space="preserve">-Luz Bella, member of </w:t>
      </w:r>
      <w:proofErr w:type="spellStart"/>
      <w:r>
        <w:t>Colectiva</w:t>
      </w:r>
      <w:proofErr w:type="spellEnd"/>
      <w:r>
        <w:t xml:space="preserve"> </w:t>
      </w:r>
      <w:proofErr w:type="spellStart"/>
      <w:r>
        <w:t>Polimorfas</w:t>
      </w:r>
      <w:proofErr w:type="spellEnd"/>
      <w:r>
        <w:t xml:space="preserve"> and woman with physical disability.</w:t>
      </w:r>
    </w:p>
    <w:p w14:paraId="0574982D" w14:textId="77777777" w:rsidR="002275E6" w:rsidRDefault="002275E6" w:rsidP="002275E6"/>
    <w:p w14:paraId="64FEA4E0" w14:textId="4DE7AE57" w:rsidR="002275E6" w:rsidRDefault="002275E6" w:rsidP="00F0673F">
      <w:pPr>
        <w:jc w:val="both"/>
      </w:pPr>
      <w:r>
        <w:t>Colombia still segregates persons with disabilities into “special” educational institutions exclusively for persons with disabilities.</w:t>
      </w:r>
      <w:r>
        <w:rPr>
          <w:rStyle w:val="EndnoteReference"/>
        </w:rPr>
        <w:endnoteReference w:id="72"/>
      </w:r>
      <w:r>
        <w:t xml:space="preserve"> Historically, public and private schools have more stringent requirements for children with intellectual disabilities. For instance, it is not uncommon for schools to require parents to sign liability waivers, hire therapeutic companions, or start guardianship procedures. Where parents are unable to meet these requirements, schools do not accept the child, which in some cases make parents look for segregated education alternatives. Families may also seek out these “special” institutions as they offer medical services and alternative therapies. </w:t>
      </w:r>
      <w:proofErr w:type="spellStart"/>
      <w:r>
        <w:t>Asdown</w:t>
      </w:r>
      <w:proofErr w:type="spellEnd"/>
      <w:r>
        <w:t xml:space="preserve"> Colombia reports that, although the practice of requiring </w:t>
      </w:r>
      <w:r>
        <w:lastRenderedPageBreak/>
        <w:t xml:space="preserve">guardianship procedures is now less common, children with intellectual disabilities </w:t>
      </w:r>
      <w:r w:rsidR="00A3666B">
        <w:t>who are</w:t>
      </w:r>
      <w:r w:rsidR="007E4675">
        <w:t xml:space="preserve"> rejected by regular schools</w:t>
      </w:r>
      <w:r w:rsidR="00A3666B">
        <w:t xml:space="preserve"> must be placed under guardianship</w:t>
      </w:r>
      <w:r w:rsidR="007E4675">
        <w:t xml:space="preserve"> and then sent to </w:t>
      </w:r>
      <w:r w:rsidR="00B02C0C">
        <w:t>“special”</w:t>
      </w:r>
      <w:r w:rsidR="007E4675">
        <w:t xml:space="preserve"> institutions</w:t>
      </w:r>
      <w:r w:rsidR="00A3666B">
        <w:t xml:space="preserve"> run by the Colombian Institute for Family Welfare (ICBF)</w:t>
      </w:r>
      <w:r>
        <w:t>.</w:t>
      </w:r>
      <w:r>
        <w:rPr>
          <w:rStyle w:val="EndnoteReference"/>
        </w:rPr>
        <w:endnoteReference w:id="73"/>
      </w:r>
      <w:r>
        <w:t xml:space="preserve"> </w:t>
      </w:r>
    </w:p>
    <w:p w14:paraId="18081DDD" w14:textId="77777777" w:rsidR="002275E6" w:rsidRDefault="002275E6" w:rsidP="00F0673F">
      <w:pPr>
        <w:jc w:val="both"/>
      </w:pPr>
    </w:p>
    <w:p w14:paraId="0A6E5DC3" w14:textId="24AFF1B9" w:rsidR="002275E6" w:rsidRPr="00113872" w:rsidRDefault="002275E6" w:rsidP="00F0673F">
      <w:pPr>
        <w:jc w:val="both"/>
      </w:pPr>
      <w:r>
        <w:t xml:space="preserve">Yet, many of </w:t>
      </w:r>
      <w:r w:rsidR="00A3666B">
        <w:t xml:space="preserve">these “special” </w:t>
      </w:r>
      <w:r>
        <w:t>institutions do not provide appropriate educational services or follow legal subjects and curriculums.</w:t>
      </w:r>
      <w:r w:rsidR="007E4675">
        <w:rPr>
          <w:rStyle w:val="EndnoteReference"/>
        </w:rPr>
        <w:endnoteReference w:id="74"/>
      </w:r>
      <w:r>
        <w:t xml:space="preserve"> As a consequence, persons with disabilities are often excluded from formal educational spaces from early ages, which affects their professional and economical future and perpetuates the cycle of social exclusion. According to the Colombian National Administrative Department of Statistics, out of a total of 392,084 children and adolescents with disabilities under the age of 18, 119,831—almost one-third—do not attend school.</w:t>
      </w:r>
      <w:r w:rsidR="007E4675">
        <w:rPr>
          <w:rStyle w:val="EndnoteReference"/>
        </w:rPr>
        <w:endnoteReference w:id="75"/>
      </w:r>
      <w:r>
        <w:t xml:space="preserve"> According to the Minister of Edu</w:t>
      </w:r>
      <w:r w:rsidR="007E4675">
        <w:t xml:space="preserve">cation, during 2015 only 1.96% </w:t>
      </w:r>
      <w:r>
        <w:t>of children and adults with disabilities had access to public education and 0.86% to private education.</w:t>
      </w:r>
      <w:r>
        <w:rPr>
          <w:vertAlign w:val="superscript"/>
        </w:rPr>
        <w:endnoteReference w:id="76"/>
      </w:r>
      <w:r>
        <w:t xml:space="preserve"> Only 1% of women with disabilities in Bogotá have finished higher education and 91% did not finish high school.</w:t>
      </w:r>
      <w:r>
        <w:rPr>
          <w:vertAlign w:val="superscript"/>
        </w:rPr>
        <w:endnoteReference w:id="77"/>
      </w:r>
    </w:p>
    <w:p w14:paraId="470FB757" w14:textId="77777777" w:rsidR="002275E6" w:rsidRDefault="002275E6" w:rsidP="00F0673F">
      <w:pPr>
        <w:jc w:val="both"/>
      </w:pPr>
    </w:p>
    <w:p w14:paraId="40F9529B" w14:textId="517B6B80" w:rsidR="002275E6" w:rsidRPr="00DF1D87" w:rsidRDefault="002275E6" w:rsidP="00F0673F">
      <w:pPr>
        <w:jc w:val="both"/>
      </w:pPr>
      <w:r>
        <w:t>This exclusion from mainstream educational institutions also limits access to sexuality education for children with disabilities. In Colombia, the provision of sex</w:t>
      </w:r>
      <w:r w:rsidR="00163E7D">
        <w:t>uality</w:t>
      </w:r>
      <w:r>
        <w:t xml:space="preserve"> education in school is mandatory and must be compulsory for all levels. The General Law of Education (Act 115 of 1993) establishes</w:t>
      </w:r>
      <w:r w:rsidR="00A3666B">
        <w:t xml:space="preserve"> that sexual education must be “</w:t>
      </w:r>
      <w:r>
        <w:t>(...) imparted in each case according to the psychic, physical and affective needs of students according to their age.</w:t>
      </w:r>
      <w:r w:rsidR="00A3666B">
        <w:t>”</w:t>
      </w:r>
      <w:r w:rsidR="00163E7D">
        <w:rPr>
          <w:rStyle w:val="EndnoteReference"/>
        </w:rPr>
        <w:endnoteReference w:id="78"/>
      </w:r>
      <w:r>
        <w:t xml:space="preserve"> However, there are no similar requirements on sexuality education for “special institutions,” and, as a result sexuality education is seldom included in the curriculum at such institutions. Lack of access to sexuality education in turn means that </w:t>
      </w:r>
      <w:r w:rsidRPr="00113872">
        <w:t>adolescents with disabilities lack the essential knowledge required to protect themselves from sexual abuse, unwanted pregnancy, and sexually transmitted infections (STIs), and to make autonomous, informed decisions about their own health</w:t>
      </w:r>
      <w:r>
        <w:t>, with attending consequences for their sexual and reproductive health</w:t>
      </w:r>
      <w:r w:rsidRPr="00113872">
        <w:t xml:space="preserve">. </w:t>
      </w:r>
      <w:r>
        <w:t xml:space="preserve">This bears out in the </w:t>
      </w:r>
      <w:r w:rsidR="00163E7D">
        <w:t xml:space="preserve">above-mentioned </w:t>
      </w:r>
      <w:r w:rsidRPr="00113872">
        <w:t xml:space="preserve">health risks </w:t>
      </w:r>
      <w:r>
        <w:t xml:space="preserve">that </w:t>
      </w:r>
      <w:proofErr w:type="spellStart"/>
      <w:r>
        <w:t>Profamilia</w:t>
      </w:r>
      <w:proofErr w:type="spellEnd"/>
      <w:r>
        <w:t xml:space="preserve"> has observed among </w:t>
      </w:r>
      <w:r w:rsidRPr="00113872">
        <w:t>women</w:t>
      </w:r>
      <w:r>
        <w:t xml:space="preserve"> and girls with disabilities in Colombia</w:t>
      </w:r>
      <w:r w:rsidR="00163E7D">
        <w:t>.</w:t>
      </w:r>
      <w:r>
        <w:t xml:space="preserve"> Exclusion from mainstream education facilities and comprehensive sexuality education programs may contribute to other harms for women, and especially girls, with disabilities as well. </w:t>
      </w:r>
      <w:r w:rsidRPr="00584C2A">
        <w:t>A World Bank study of early pregnancy in Latin America shows that there is significant evidence of the correlations between early motherhood, poorer educational attainment, and worse opportunities in the labor market for women.</w:t>
      </w:r>
      <w:r w:rsidRPr="00584C2A">
        <w:rPr>
          <w:vertAlign w:val="superscript"/>
        </w:rPr>
        <w:endnoteReference w:id="79"/>
      </w:r>
      <w:r w:rsidRPr="00584C2A">
        <w:t xml:space="preserve"> Lack of school attendance has been shown to increase the risks of sexual violence and unwanted teenage pregnancies.</w:t>
      </w:r>
      <w:r w:rsidRPr="00584C2A">
        <w:rPr>
          <w:rStyle w:val="EndnoteReference"/>
        </w:rPr>
        <w:endnoteReference w:id="80"/>
      </w:r>
      <w:r w:rsidRPr="00584C2A">
        <w:t xml:space="preserve"> Colombian women with disabilities experience heightened rates of sexual violence,</w:t>
      </w:r>
      <w:r w:rsidRPr="00584C2A">
        <w:rPr>
          <w:rStyle w:val="EndnoteReference"/>
        </w:rPr>
        <w:endnoteReference w:id="81"/>
      </w:r>
      <w:r w:rsidRPr="00584C2A">
        <w:t xml:space="preserve"> and their lack of access to comprehensive sexuality education programs and exclusion from mainstream educational institutions contribute to this  problem.</w:t>
      </w:r>
      <w:r w:rsidRPr="00584C2A">
        <w:rPr>
          <w:rStyle w:val="EndnoteReference"/>
        </w:rPr>
        <w:endnoteReference w:id="82"/>
      </w:r>
      <w:r>
        <w:t xml:space="preserve"> </w:t>
      </w:r>
    </w:p>
    <w:p w14:paraId="37E2E185" w14:textId="77777777" w:rsidR="002275E6" w:rsidRDefault="002275E6" w:rsidP="00F0673F">
      <w:pPr>
        <w:jc w:val="both"/>
      </w:pPr>
    </w:p>
    <w:p w14:paraId="15F283A9" w14:textId="06D7DCDA" w:rsidR="002275E6" w:rsidRDefault="002275E6" w:rsidP="00F0673F">
      <w:pPr>
        <w:jc w:val="both"/>
      </w:pPr>
      <w:r>
        <w:t>Article 13 of the ICESCR protects “the right of everyone to education.”</w:t>
      </w:r>
      <w:r>
        <w:rPr>
          <w:rStyle w:val="EndnoteReference"/>
        </w:rPr>
        <w:endnoteReference w:id="83"/>
      </w:r>
      <w:r>
        <w:t xml:space="preserve"> The CRPD provides additional guidance on what the right to education for persons with disabilities looks like. In particular, Article 24(2)</w:t>
      </w:r>
      <w:r w:rsidR="00163E7D">
        <w:t xml:space="preserve"> of the CRPD</w:t>
      </w:r>
      <w:r>
        <w:t xml:space="preserve"> provides that States must ensure that individuals with disabilities are not excluded from the general education system, and that reasonable accommodations and adequate support must be provided to ensure their effective education.</w:t>
      </w:r>
      <w:r>
        <w:rPr>
          <w:rStyle w:val="EndnoteReference"/>
        </w:rPr>
        <w:endnoteReference w:id="84"/>
      </w:r>
      <w:r>
        <w:t xml:space="preserve"> By denying children and adolescents with disabilities access to mainstream educational institutions, and instead segregating them into “special” institutions, Colombia is violating their right to education as protected under article 13 of the ICESCR.  </w:t>
      </w:r>
    </w:p>
    <w:p w14:paraId="13B1A3CB" w14:textId="77777777" w:rsidR="002275E6" w:rsidRDefault="002275E6" w:rsidP="00F0673F">
      <w:pPr>
        <w:jc w:val="both"/>
      </w:pPr>
    </w:p>
    <w:p w14:paraId="19F2D154" w14:textId="22405863" w:rsidR="002275E6" w:rsidRDefault="002275E6" w:rsidP="00F0673F">
      <w:pPr>
        <w:jc w:val="both"/>
      </w:pPr>
      <w:r>
        <w:lastRenderedPageBreak/>
        <w:t>The right to sexuality education falls within the scope of both article 13 (education) and article 12 (health). In its General Comment No. 22, the ESCR Committee emphasized that “</w:t>
      </w:r>
      <w:r w:rsidRPr="00F01579">
        <w:t>States are required to provide age-appropriate, evidence-based, scientifically accurate comprehensive education for all on</w:t>
      </w:r>
      <w:r>
        <w:t xml:space="preserve"> sexual and reproductive health,”</w:t>
      </w:r>
      <w:r>
        <w:rPr>
          <w:rStyle w:val="EndnoteReference"/>
        </w:rPr>
        <w:endnoteReference w:id="85"/>
      </w:r>
      <w:r>
        <w:t xml:space="preserve"> noting that access to non-discriminatory and non-biased sexuality education is among the core obligations toward the realization of the right to sexual and reproductive health.</w:t>
      </w:r>
      <w:r>
        <w:rPr>
          <w:rStyle w:val="EndnoteReference"/>
        </w:rPr>
        <w:endnoteReference w:id="86"/>
      </w:r>
      <w:r w:rsidRPr="00F01579">
        <w:t> </w:t>
      </w:r>
      <w:r>
        <w:t xml:space="preserve">In addition, the ESCR Committee </w:t>
      </w:r>
      <w:r w:rsidRPr="00F01579">
        <w:t>frequ</w:t>
      </w:r>
      <w:r>
        <w:t>ently recommends</w:t>
      </w:r>
      <w:r w:rsidRPr="00F01579">
        <w:t xml:space="preserve"> that States ensure access to education about sexuality and reproduction</w:t>
      </w:r>
      <w:r w:rsidRPr="00F01579">
        <w:rPr>
          <w:vertAlign w:val="superscript"/>
        </w:rPr>
        <w:endnoteReference w:id="87"/>
      </w:r>
      <w:r w:rsidRPr="00F01579">
        <w:t xml:space="preserve"> for everyone, in particular adolescents,</w:t>
      </w:r>
      <w:r w:rsidRPr="00F01579">
        <w:rPr>
          <w:vertAlign w:val="superscript"/>
        </w:rPr>
        <w:endnoteReference w:id="88"/>
      </w:r>
      <w:r w:rsidRPr="00F01579">
        <w:t xml:space="preserve"> </w:t>
      </w:r>
      <w:r>
        <w:t>both</w:t>
      </w:r>
      <w:r w:rsidRPr="00F01579">
        <w:t xml:space="preserve"> as part of primary and secondary school curricula</w:t>
      </w:r>
      <w:r w:rsidRPr="00F01579">
        <w:rPr>
          <w:vertAlign w:val="superscript"/>
        </w:rPr>
        <w:endnoteReference w:id="89"/>
      </w:r>
      <w:r w:rsidRPr="00F01579">
        <w:t xml:space="preserve"> and in informal settings.</w:t>
      </w:r>
      <w:r w:rsidRPr="00F01579">
        <w:rPr>
          <w:vertAlign w:val="superscript"/>
        </w:rPr>
        <w:endnoteReference w:id="90"/>
      </w:r>
      <w:r>
        <w:t xml:space="preserve"> Indeed, in a few instances, this Committee has </w:t>
      </w:r>
      <w:r w:rsidRPr="00F01579">
        <w:t>recommended that sexuality education be mandatory in schools</w:t>
      </w:r>
      <w:r>
        <w:t>.</w:t>
      </w:r>
      <w:r w:rsidRPr="00F01579">
        <w:rPr>
          <w:vertAlign w:val="superscript"/>
        </w:rPr>
        <w:endnoteReference w:id="91"/>
      </w:r>
      <w:r w:rsidRPr="00F01579">
        <w:t xml:space="preserve"> </w:t>
      </w:r>
      <w:r>
        <w:t>The CRPD Committee has additionally</w:t>
      </w:r>
      <w:r w:rsidRPr="00F01579">
        <w:t xml:space="preserve"> expressed concern where persons with disabilities do not have access to sexual and reproductive health education</w:t>
      </w:r>
      <w:r>
        <w:t>,</w:t>
      </w:r>
      <w:r w:rsidRPr="00F01579">
        <w:rPr>
          <w:vertAlign w:val="superscript"/>
        </w:rPr>
        <w:endnoteReference w:id="92"/>
      </w:r>
      <w:r w:rsidRPr="00F01579">
        <w:t xml:space="preserve"> </w:t>
      </w:r>
      <w:r>
        <w:t>and</w:t>
      </w:r>
      <w:r w:rsidRPr="00F01579">
        <w:t xml:space="preserve"> has recommended that age-appropriate and accessible information and education on sexual and reproductive health be made available to all persons with disabilities.</w:t>
      </w:r>
      <w:r w:rsidRPr="00F01579">
        <w:rPr>
          <w:vertAlign w:val="superscript"/>
        </w:rPr>
        <w:endnoteReference w:id="93"/>
      </w:r>
      <w:r w:rsidRPr="00F01579">
        <w:t xml:space="preserve"> </w:t>
      </w:r>
      <w:r>
        <w:t>Former UN Special Rapporteur on the right to education, Victor Muñoz, explained that sexuality education “</w:t>
      </w:r>
      <w:r w:rsidRPr="00AA15A1">
        <w:t>is especially important in ensuring the enjoyment of women’s right to live free of violence and gender discrimination, given the historically unequal power relations between men and women.</w:t>
      </w:r>
      <w:r>
        <w:t>”</w:t>
      </w:r>
      <w:r>
        <w:rPr>
          <w:rStyle w:val="EndnoteReference"/>
        </w:rPr>
        <w:endnoteReference w:id="94"/>
      </w:r>
      <w:r>
        <w:t xml:space="preserve"> Colombia’s failure to ensure that comprehensive sexuality education is taught in both formal and informal education settings, including “special” institutions, violates the rights of persons with disabilities to sexuality education, as protected under articles 12 and 13 of the ICESCR.</w:t>
      </w:r>
    </w:p>
    <w:p w14:paraId="49DD60E8" w14:textId="77777777" w:rsidR="002275E6" w:rsidRPr="00307EE9" w:rsidRDefault="002275E6" w:rsidP="00F0673F">
      <w:pPr>
        <w:jc w:val="both"/>
      </w:pPr>
    </w:p>
    <w:p w14:paraId="4CDB8610" w14:textId="77777777" w:rsidR="002275E6" w:rsidRPr="00A0481F" w:rsidRDefault="002275E6" w:rsidP="00F0673F">
      <w:pPr>
        <w:pStyle w:val="ListParagraph"/>
        <w:numPr>
          <w:ilvl w:val="1"/>
          <w:numId w:val="32"/>
        </w:numPr>
        <w:rPr>
          <w:b/>
          <w:sz w:val="24"/>
          <w:szCs w:val="24"/>
        </w:rPr>
      </w:pPr>
      <w:r w:rsidRPr="00A0481F">
        <w:rPr>
          <w:b/>
          <w:sz w:val="24"/>
          <w:szCs w:val="24"/>
        </w:rPr>
        <w:t>Employment</w:t>
      </w:r>
    </w:p>
    <w:p w14:paraId="1CB2EF3A" w14:textId="77777777" w:rsidR="002275E6" w:rsidRDefault="002275E6" w:rsidP="00F0673F">
      <w:pPr>
        <w:pStyle w:val="ListParagraph"/>
        <w:numPr>
          <w:ilvl w:val="2"/>
          <w:numId w:val="11"/>
        </w:numPr>
        <w:rPr>
          <w:b/>
          <w:i/>
          <w:sz w:val="24"/>
          <w:szCs w:val="24"/>
        </w:rPr>
      </w:pPr>
    </w:p>
    <w:p w14:paraId="17904EA0" w14:textId="3313FD24" w:rsidR="002275E6" w:rsidRDefault="002275E6" w:rsidP="00F0673F">
      <w:pPr>
        <w:jc w:val="both"/>
      </w:pPr>
      <w:r>
        <w:t xml:space="preserve">As a result of low access to education and consequent barriers in the access to the </w:t>
      </w:r>
      <w:r w:rsidR="00163E7D">
        <w:t>labor</w:t>
      </w:r>
      <w:r>
        <w:t xml:space="preserve"> market, only 17% of persons with disabilities are employed in Colombia.</w:t>
      </w:r>
      <w:r>
        <w:rPr>
          <w:vertAlign w:val="superscript"/>
        </w:rPr>
        <w:endnoteReference w:id="95"/>
      </w:r>
      <w:r>
        <w:t xml:space="preserve"> Women with disabilities are disproportionately unemployed, </w:t>
      </w:r>
      <w:r w:rsidR="00163E7D">
        <w:t>with</w:t>
      </w:r>
      <w:r>
        <w:t xml:space="preserve"> men with disabilities </w:t>
      </w:r>
      <w:r w:rsidR="00163E7D">
        <w:t>being</w:t>
      </w:r>
      <w:r>
        <w:t xml:space="preserve"> employed at twice the rate of women with disabilities.</w:t>
      </w:r>
      <w:r>
        <w:rPr>
          <w:vertAlign w:val="superscript"/>
        </w:rPr>
        <w:endnoteReference w:id="96"/>
      </w:r>
      <w:r>
        <w:t xml:space="preserve"> Colombia’s guardianship law </w:t>
      </w:r>
      <w:r w:rsidR="00B27941">
        <w:t xml:space="preserve">also </w:t>
      </w:r>
      <w:r>
        <w:t xml:space="preserve">poses a significant barrier to employment, as employers a reluctant to hire a person under plenary guardianship because the contract could be revoked at any moment by the judge or the guardian, generating potential legal liability for the employer. </w:t>
      </w:r>
    </w:p>
    <w:p w14:paraId="16251FB4" w14:textId="77777777" w:rsidR="002275E6" w:rsidRDefault="002275E6" w:rsidP="00F0673F">
      <w:pPr>
        <w:jc w:val="both"/>
      </w:pPr>
    </w:p>
    <w:p w14:paraId="293DEC1F" w14:textId="59F8695C" w:rsidR="002275E6" w:rsidRDefault="002275E6" w:rsidP="00F0673F">
      <w:pPr>
        <w:jc w:val="both"/>
      </w:pPr>
      <w:r>
        <w:t>Unemployment and underemployment, as well as discrimi</w:t>
      </w:r>
      <w:r w:rsidR="00163E7D">
        <w:t>nation in the workforce, carry</w:t>
      </w:r>
      <w:r>
        <w:t xml:space="preserve"> significant consequences for women with disabilities. There is evidence in other contexts that “when women with disabilities work, they often experience unequal hiring and promotion standards, unequal access to training and retraining, unequal access to credit and other productive resources, unequal pay for equal work and occupational segregation, and they rarely participate in economic decision-making.”</w:t>
      </w:r>
      <w:r>
        <w:rPr>
          <w:vertAlign w:val="superscript"/>
        </w:rPr>
        <w:endnoteReference w:id="97"/>
      </w:r>
      <w:r>
        <w:t xml:space="preserve"> According to research in Colombia, women are more autonomous when they have better access to education and they have higher income.</w:t>
      </w:r>
      <w:r>
        <w:rPr>
          <w:vertAlign w:val="superscript"/>
        </w:rPr>
        <w:endnoteReference w:id="98"/>
      </w:r>
      <w:r>
        <w:t xml:space="preserve"> As a result, these women are less likely to be victims of domestic violence.</w:t>
      </w:r>
      <w:r>
        <w:rPr>
          <w:vertAlign w:val="superscript"/>
        </w:rPr>
        <w:endnoteReference w:id="99"/>
      </w:r>
      <w:r>
        <w:t xml:space="preserve"> Therefore, barriers in the access to education and work can put women with disabilities at a higher risk for domestic violence. </w:t>
      </w:r>
    </w:p>
    <w:p w14:paraId="47982FC9" w14:textId="77777777" w:rsidR="002275E6" w:rsidRDefault="002275E6" w:rsidP="00F0673F">
      <w:pPr>
        <w:jc w:val="both"/>
      </w:pPr>
    </w:p>
    <w:p w14:paraId="10F66530" w14:textId="52958A14" w:rsidR="002275E6" w:rsidRDefault="002275E6" w:rsidP="00163E7D">
      <w:pPr>
        <w:widowControl w:val="0"/>
        <w:jc w:val="both"/>
      </w:pPr>
      <w:r>
        <w:t xml:space="preserve">Article 7 of the ICESCR safeguards the right to “the enjoyment of just and </w:t>
      </w:r>
      <w:proofErr w:type="spellStart"/>
      <w:r>
        <w:t>favourable</w:t>
      </w:r>
      <w:proofErr w:type="spellEnd"/>
      <w:r>
        <w:t xml:space="preserve"> conditions of work,” including equal opportunity for promotion.</w:t>
      </w:r>
      <w:r>
        <w:rPr>
          <w:rStyle w:val="EndnoteReference"/>
        </w:rPr>
        <w:endnoteReference w:id="100"/>
      </w:r>
      <w:r>
        <w:t xml:space="preserve"> In its recent General Comment No. 23, the ESCR Committee has explained that this obligation includes addressing both direct and indirect obstacles to the realization of this right.</w:t>
      </w:r>
      <w:r>
        <w:rPr>
          <w:rStyle w:val="EndnoteReference"/>
        </w:rPr>
        <w:endnoteReference w:id="101"/>
      </w:r>
      <w:r>
        <w:t xml:space="preserve"> </w:t>
      </w:r>
      <w:r w:rsidR="00163E7D">
        <w:t xml:space="preserve">The barriers that women with disabilities in </w:t>
      </w:r>
      <w:r w:rsidR="00163E7D">
        <w:lastRenderedPageBreak/>
        <w:t xml:space="preserve">Colombia face to securing and retaining employment, as well as the additional obstacles imposed by the fact that </w:t>
      </w:r>
      <w:r>
        <w:t xml:space="preserve">Colombia’s guardianship law </w:t>
      </w:r>
      <w:r w:rsidR="00163E7D">
        <w:t>empowers guardians or judges to revoke an</w:t>
      </w:r>
      <w:r>
        <w:t xml:space="preserve"> employment contract with a person under guardianship </w:t>
      </w:r>
      <w:r w:rsidR="004D64CD">
        <w:t>at any time, violate</w:t>
      </w:r>
      <w:r w:rsidR="00163E7D">
        <w:t xml:space="preserve"> the </w:t>
      </w:r>
      <w:r w:rsidR="004D64CD">
        <w:t>State’s obligations under article 7 of the ICESCR</w:t>
      </w:r>
      <w:r w:rsidR="00163E7D">
        <w:t xml:space="preserve"> </w:t>
      </w:r>
      <w:r>
        <w:t>.</w:t>
      </w:r>
    </w:p>
    <w:p w14:paraId="52E2EC0E" w14:textId="77777777" w:rsidR="005E315B" w:rsidRDefault="005E315B" w:rsidP="00F0673F">
      <w:pPr>
        <w:jc w:val="both"/>
      </w:pPr>
    </w:p>
    <w:p w14:paraId="0819809E" w14:textId="3B86B6A1" w:rsidR="005E315B" w:rsidRPr="00B27941" w:rsidRDefault="00A0481F" w:rsidP="00F0673F">
      <w:pPr>
        <w:pStyle w:val="ListParagraph"/>
        <w:ind w:left="0"/>
        <w:rPr>
          <w:b/>
          <w:sz w:val="24"/>
          <w:szCs w:val="24"/>
        </w:rPr>
      </w:pPr>
      <w:r>
        <w:rPr>
          <w:b/>
          <w:sz w:val="24"/>
          <w:szCs w:val="24"/>
        </w:rPr>
        <w:t xml:space="preserve">IV. </w:t>
      </w:r>
      <w:r>
        <w:rPr>
          <w:b/>
          <w:sz w:val="24"/>
          <w:szCs w:val="24"/>
        </w:rPr>
        <w:tab/>
      </w:r>
      <w:r w:rsidR="005E315B" w:rsidRPr="00B27941">
        <w:rPr>
          <w:b/>
          <w:sz w:val="24"/>
          <w:szCs w:val="24"/>
        </w:rPr>
        <w:t>Conclusions and recommendations</w:t>
      </w:r>
    </w:p>
    <w:p w14:paraId="56CC58F6" w14:textId="77777777" w:rsidR="005E315B" w:rsidRDefault="005E315B" w:rsidP="00F0673F">
      <w:pPr>
        <w:jc w:val="both"/>
      </w:pPr>
    </w:p>
    <w:p w14:paraId="6CB4A9B2" w14:textId="44811BF5" w:rsidR="005E315B" w:rsidRDefault="00C4278C" w:rsidP="00F0673F">
      <w:pPr>
        <w:widowControl w:val="0"/>
        <w:jc w:val="both"/>
      </w:pPr>
      <w:r>
        <w:t>W</w:t>
      </w:r>
      <w:r w:rsidR="005E315B">
        <w:t>omen with disabilities in Colombia</w:t>
      </w:r>
      <w:r w:rsidR="00D8599C">
        <w:t xml:space="preserve"> encounter intersectional discrimination the basis of both their gender and their disability that can lead to a denial of legal capacity due to Colombia’s guardianship law</w:t>
      </w:r>
      <w:r w:rsidR="004D64CD">
        <w:t xml:space="preserve"> and lack of access to essential ESC rights</w:t>
      </w:r>
      <w:r w:rsidR="005E315B">
        <w:t xml:space="preserve">. </w:t>
      </w:r>
      <w:r w:rsidR="0067107C">
        <w:t xml:space="preserve">Denial of legal capacity, in turn, leads to an array of ESC rights violations. </w:t>
      </w:r>
      <w:r w:rsidR="005E315B">
        <w:t xml:space="preserve"> </w:t>
      </w:r>
      <w:r w:rsidR="0067107C">
        <w:t xml:space="preserve"> Accordingly</w:t>
      </w:r>
      <w:r w:rsidR="005E315B">
        <w:t xml:space="preserve">, our organizations </w:t>
      </w:r>
      <w:r w:rsidR="0067107C">
        <w:t>urge</w:t>
      </w:r>
      <w:r w:rsidR="00225008">
        <w:t xml:space="preserve"> this </w:t>
      </w:r>
      <w:r w:rsidR="005E315B">
        <w:t xml:space="preserve">Committee </w:t>
      </w:r>
      <w:r w:rsidR="0067107C">
        <w:t>to address</w:t>
      </w:r>
      <w:r w:rsidR="005E315B">
        <w:t xml:space="preserve"> the rights of women with disabilities in its </w:t>
      </w:r>
      <w:r w:rsidR="00225008">
        <w:t>upcoming review</w:t>
      </w:r>
      <w:r w:rsidR="005E315B">
        <w:t xml:space="preserve"> of Colombia's</w:t>
      </w:r>
      <w:r w:rsidR="00225008">
        <w:t xml:space="preserve"> compliance with the ICESCR</w:t>
      </w:r>
      <w:r w:rsidR="005E315B">
        <w:t>. In par</w:t>
      </w:r>
      <w:r w:rsidR="00225008">
        <w:t xml:space="preserve">ticular, we recommend that the </w:t>
      </w:r>
      <w:r w:rsidR="005E315B">
        <w:t xml:space="preserve">Committee </w:t>
      </w:r>
      <w:r w:rsidR="004D64CD">
        <w:t>recommend that</w:t>
      </w:r>
      <w:r w:rsidR="005E315B">
        <w:t xml:space="preserve"> Colombia:</w:t>
      </w:r>
    </w:p>
    <w:p w14:paraId="69DF09B2" w14:textId="77777777" w:rsidR="005E315B" w:rsidRDefault="005E315B" w:rsidP="00F0673F">
      <w:pPr>
        <w:widowControl w:val="0"/>
        <w:jc w:val="both"/>
      </w:pPr>
    </w:p>
    <w:p w14:paraId="5B8B6936" w14:textId="281A7187" w:rsidR="00F657E5" w:rsidRDefault="00225008" w:rsidP="00F0673F">
      <w:pPr>
        <w:widowControl w:val="0"/>
        <w:numPr>
          <w:ilvl w:val="0"/>
          <w:numId w:val="3"/>
        </w:numPr>
        <w:ind w:hanging="360"/>
        <w:contextualSpacing/>
        <w:jc w:val="both"/>
        <w:rPr>
          <w:highlight w:val="white"/>
        </w:rPr>
      </w:pPr>
      <w:r>
        <w:rPr>
          <w:highlight w:val="white"/>
        </w:rPr>
        <w:t>Adopt necessary measures</w:t>
      </w:r>
      <w:r w:rsidR="005E315B">
        <w:rPr>
          <w:highlight w:val="white"/>
        </w:rPr>
        <w:t xml:space="preserve"> that guarantee full legal capacity of </w:t>
      </w:r>
      <w:r w:rsidR="00F40372">
        <w:rPr>
          <w:highlight w:val="white"/>
        </w:rPr>
        <w:t>women</w:t>
      </w:r>
      <w:r w:rsidR="005E315B">
        <w:rPr>
          <w:highlight w:val="white"/>
        </w:rPr>
        <w:t xml:space="preserve"> with disabilities</w:t>
      </w:r>
      <w:r>
        <w:rPr>
          <w:highlight w:val="white"/>
        </w:rPr>
        <w:t xml:space="preserve"> </w:t>
      </w:r>
      <w:r w:rsidR="005E315B">
        <w:rPr>
          <w:highlight w:val="white"/>
        </w:rPr>
        <w:t>in line with Article 12 of the U</w:t>
      </w:r>
      <w:r w:rsidR="00F657E5">
        <w:rPr>
          <w:highlight w:val="white"/>
        </w:rPr>
        <w:t>.</w:t>
      </w:r>
      <w:r w:rsidR="005E315B">
        <w:rPr>
          <w:highlight w:val="white"/>
        </w:rPr>
        <w:t>N</w:t>
      </w:r>
      <w:r w:rsidR="00F657E5">
        <w:rPr>
          <w:highlight w:val="white"/>
        </w:rPr>
        <w:t>.</w:t>
      </w:r>
      <w:r w:rsidR="005E315B">
        <w:rPr>
          <w:highlight w:val="white"/>
        </w:rPr>
        <w:t xml:space="preserve"> Convention </w:t>
      </w:r>
      <w:r w:rsidR="00F657E5">
        <w:rPr>
          <w:highlight w:val="white"/>
        </w:rPr>
        <w:t>on</w:t>
      </w:r>
      <w:r w:rsidR="005E315B">
        <w:rPr>
          <w:highlight w:val="white"/>
        </w:rPr>
        <w:t xml:space="preserve"> the Rights of People with Disabilities.</w:t>
      </w:r>
      <w:r w:rsidR="00BC5253">
        <w:rPr>
          <w:highlight w:val="white"/>
        </w:rPr>
        <w:t xml:space="preserve"> </w:t>
      </w:r>
      <w:r w:rsidR="00F657E5">
        <w:rPr>
          <w:highlight w:val="white"/>
        </w:rPr>
        <w:t>Take all necessary measures to guarantee the necessary and appropriate accommodations so women with disabilities can make their own decisions about their private life in an informed way.</w:t>
      </w:r>
    </w:p>
    <w:p w14:paraId="0B05594D" w14:textId="68F7376E" w:rsidR="00F657E5" w:rsidRDefault="0060531C" w:rsidP="00F0673F">
      <w:pPr>
        <w:widowControl w:val="0"/>
        <w:numPr>
          <w:ilvl w:val="0"/>
          <w:numId w:val="3"/>
        </w:numPr>
        <w:ind w:hanging="360"/>
        <w:contextualSpacing/>
        <w:jc w:val="both"/>
        <w:rPr>
          <w:highlight w:val="white"/>
        </w:rPr>
      </w:pPr>
      <w:r>
        <w:rPr>
          <w:highlight w:val="white"/>
        </w:rPr>
        <w:t>Repeal article 6 of Act 1412 of 2010 and d</w:t>
      </w:r>
      <w:r w:rsidR="00D8599C">
        <w:rPr>
          <w:highlight w:val="white"/>
        </w:rPr>
        <w:t>evelop robust legal protections to prohibit</w:t>
      </w:r>
      <w:r w:rsidR="005E315B">
        <w:rPr>
          <w:highlight w:val="white"/>
        </w:rPr>
        <w:t xml:space="preserve"> sterilizations of women with disabilities</w:t>
      </w:r>
      <w:r w:rsidR="00F657E5">
        <w:rPr>
          <w:highlight w:val="white"/>
        </w:rPr>
        <w:t xml:space="preserve"> without their full and informed consent</w:t>
      </w:r>
      <w:r w:rsidR="005E315B">
        <w:rPr>
          <w:highlight w:val="white"/>
        </w:rPr>
        <w:t xml:space="preserve">. </w:t>
      </w:r>
    </w:p>
    <w:p w14:paraId="55C000EB" w14:textId="0393DCFD" w:rsidR="00635311" w:rsidRDefault="00635311" w:rsidP="00F0673F">
      <w:pPr>
        <w:widowControl w:val="0"/>
        <w:numPr>
          <w:ilvl w:val="0"/>
          <w:numId w:val="3"/>
        </w:numPr>
        <w:ind w:hanging="360"/>
        <w:contextualSpacing/>
        <w:jc w:val="both"/>
        <w:rPr>
          <w:highlight w:val="white"/>
        </w:rPr>
      </w:pPr>
      <w:r>
        <w:rPr>
          <w:highlight w:val="white"/>
        </w:rPr>
        <w:t>Eliminate laws, policies, and practices that reinforce harmful stereotypes about women with disabilities, including laws that allow for forced sterilization, forced institutionalization, and a denial of their rights to become parents, retain custody of their children, or decide where to live.</w:t>
      </w:r>
    </w:p>
    <w:p w14:paraId="573B238E" w14:textId="6052CD6C" w:rsidR="004D64CD" w:rsidRPr="004D64CD" w:rsidRDefault="004D64CD" w:rsidP="004D64CD">
      <w:pPr>
        <w:widowControl w:val="0"/>
        <w:numPr>
          <w:ilvl w:val="0"/>
          <w:numId w:val="3"/>
        </w:numPr>
        <w:ind w:hanging="360"/>
        <w:contextualSpacing/>
        <w:jc w:val="both"/>
        <w:rPr>
          <w:highlight w:val="white"/>
        </w:rPr>
      </w:pPr>
      <w:r>
        <w:rPr>
          <w:highlight w:val="white"/>
        </w:rPr>
        <w:t xml:space="preserve">Ensure that women with disabilities are empowered to give full and informed consent to sexual and reproductive health services generally </w:t>
      </w:r>
      <w:r w:rsidRPr="00635311">
        <w:t>by guaranteeing both reasonable accommodations and accessible education on their sexual and reproductive rights.</w:t>
      </w:r>
    </w:p>
    <w:p w14:paraId="58057599" w14:textId="32F9D6E0" w:rsidR="00F40372" w:rsidRDefault="00F40372" w:rsidP="00F0673F">
      <w:pPr>
        <w:widowControl w:val="0"/>
        <w:numPr>
          <w:ilvl w:val="0"/>
          <w:numId w:val="3"/>
        </w:numPr>
        <w:ind w:hanging="360"/>
        <w:contextualSpacing/>
        <w:jc w:val="both"/>
        <w:rPr>
          <w:highlight w:val="white"/>
        </w:rPr>
      </w:pPr>
      <w:r>
        <w:rPr>
          <w:highlight w:val="white"/>
        </w:rPr>
        <w:t>Ensure that women and girls with disabilities are able to access acceptable and quality sexual and reproductive health services free from discrimination.</w:t>
      </w:r>
      <w:r w:rsidR="00BC5253">
        <w:rPr>
          <w:highlight w:val="white"/>
        </w:rPr>
        <w:t xml:space="preserve"> </w:t>
      </w:r>
    </w:p>
    <w:p w14:paraId="7E7F241F" w14:textId="38BFA032" w:rsidR="005E315B" w:rsidRDefault="00F40372" w:rsidP="00F0673F">
      <w:pPr>
        <w:widowControl w:val="0"/>
        <w:numPr>
          <w:ilvl w:val="0"/>
          <w:numId w:val="3"/>
        </w:numPr>
        <w:ind w:hanging="360"/>
        <w:contextualSpacing/>
        <w:jc w:val="both"/>
        <w:rPr>
          <w:highlight w:val="white"/>
        </w:rPr>
      </w:pPr>
      <w:r>
        <w:rPr>
          <w:highlight w:val="white"/>
        </w:rPr>
        <w:t>E</w:t>
      </w:r>
      <w:r w:rsidR="005E315B">
        <w:rPr>
          <w:highlight w:val="white"/>
        </w:rPr>
        <w:t xml:space="preserve">nsure that </w:t>
      </w:r>
      <w:r w:rsidR="0060531C">
        <w:rPr>
          <w:highlight w:val="white"/>
        </w:rPr>
        <w:t xml:space="preserve">women and </w:t>
      </w:r>
      <w:r w:rsidR="005E315B">
        <w:rPr>
          <w:highlight w:val="white"/>
        </w:rPr>
        <w:t xml:space="preserve">girls with disabilities have access to regular </w:t>
      </w:r>
      <w:r w:rsidR="0060531C">
        <w:rPr>
          <w:highlight w:val="white"/>
        </w:rPr>
        <w:t>education</w:t>
      </w:r>
      <w:r w:rsidR="005E315B">
        <w:rPr>
          <w:highlight w:val="white"/>
        </w:rPr>
        <w:t xml:space="preserve"> and ensure that sexual</w:t>
      </w:r>
      <w:r w:rsidR="0060531C">
        <w:rPr>
          <w:highlight w:val="white"/>
        </w:rPr>
        <w:t>ity</w:t>
      </w:r>
      <w:r w:rsidR="005E315B">
        <w:rPr>
          <w:highlight w:val="white"/>
        </w:rPr>
        <w:t xml:space="preserve"> education in regular schools is accessible. </w:t>
      </w:r>
    </w:p>
    <w:p w14:paraId="5D3FE640" w14:textId="5AB456F6" w:rsidR="005E315B" w:rsidRDefault="00F40372" w:rsidP="00F0673F">
      <w:pPr>
        <w:widowControl w:val="0"/>
        <w:numPr>
          <w:ilvl w:val="0"/>
          <w:numId w:val="3"/>
        </w:numPr>
        <w:ind w:hanging="360"/>
        <w:contextualSpacing/>
        <w:jc w:val="both"/>
        <w:rPr>
          <w:highlight w:val="white"/>
        </w:rPr>
      </w:pPr>
      <w:r>
        <w:rPr>
          <w:highlight w:val="white"/>
        </w:rPr>
        <w:t>Collect</w:t>
      </w:r>
      <w:r w:rsidR="005E315B">
        <w:rPr>
          <w:highlight w:val="white"/>
        </w:rPr>
        <w:t xml:space="preserve"> </w:t>
      </w:r>
      <w:r>
        <w:rPr>
          <w:highlight w:val="white"/>
        </w:rPr>
        <w:t>data</w:t>
      </w:r>
      <w:r w:rsidR="005E315B">
        <w:rPr>
          <w:highlight w:val="white"/>
        </w:rPr>
        <w:t xml:space="preserve"> on </w:t>
      </w:r>
      <w:r w:rsidR="0060531C">
        <w:rPr>
          <w:highlight w:val="white"/>
        </w:rPr>
        <w:t xml:space="preserve">guardianship, </w:t>
      </w:r>
      <w:r w:rsidR="005E315B">
        <w:rPr>
          <w:highlight w:val="white"/>
        </w:rPr>
        <w:t>sterilization</w:t>
      </w:r>
      <w:r w:rsidR="0060531C">
        <w:rPr>
          <w:highlight w:val="white"/>
        </w:rPr>
        <w:t>,</w:t>
      </w:r>
      <w:r>
        <w:rPr>
          <w:highlight w:val="white"/>
        </w:rPr>
        <w:t xml:space="preserve"> and</w:t>
      </w:r>
      <w:r w:rsidR="005E315B">
        <w:rPr>
          <w:highlight w:val="white"/>
        </w:rPr>
        <w:t xml:space="preserve"> access to education, work and adequate housing</w:t>
      </w:r>
      <w:r>
        <w:rPr>
          <w:highlight w:val="white"/>
        </w:rPr>
        <w:t xml:space="preserve"> that is disaggregated by, </w:t>
      </w:r>
      <w:r>
        <w:rPr>
          <w:i/>
          <w:highlight w:val="white"/>
        </w:rPr>
        <w:t>inter alia</w:t>
      </w:r>
      <w:r>
        <w:rPr>
          <w:highlight w:val="white"/>
        </w:rPr>
        <w:t>, sex and disability</w:t>
      </w:r>
      <w:r w:rsidR="005E315B">
        <w:rPr>
          <w:highlight w:val="white"/>
        </w:rPr>
        <w:t>.</w:t>
      </w:r>
    </w:p>
    <w:p w14:paraId="5D63CF03" w14:textId="64C4BA4A" w:rsidR="005E315B" w:rsidRDefault="005E315B" w:rsidP="00F40372">
      <w:pPr>
        <w:widowControl w:val="0"/>
        <w:contextualSpacing/>
        <w:rPr>
          <w:highlight w:val="white"/>
        </w:rPr>
      </w:pPr>
    </w:p>
    <w:sectPr w:rsidR="005E315B" w:rsidSect="00B27941">
      <w:footerReference w:type="default" r:id="rId12"/>
      <w:headerReference w:type="first" r:id="rId13"/>
      <w:endnotePr>
        <w:numFmt w:val="decimal"/>
      </w:endnotePr>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272A9B" w14:textId="77777777" w:rsidR="006C5EF7" w:rsidRDefault="006C5EF7">
      <w:r>
        <w:separator/>
      </w:r>
    </w:p>
  </w:endnote>
  <w:endnote w:type="continuationSeparator" w:id="0">
    <w:p w14:paraId="3A70377B" w14:textId="77777777" w:rsidR="006C5EF7" w:rsidRDefault="006C5EF7">
      <w:r>
        <w:continuationSeparator/>
      </w:r>
    </w:p>
  </w:endnote>
  <w:endnote w:id="1">
    <w:p w14:paraId="5D553AEB" w14:textId="240E7851"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Juan Jaime Pardo, WEI Legal Fellow</w:t>
      </w:r>
      <w:r>
        <w:rPr>
          <w:sz w:val="20"/>
          <w:szCs w:val="20"/>
        </w:rPr>
        <w:t>,</w:t>
      </w:r>
      <w:r w:rsidRPr="00F0673F">
        <w:rPr>
          <w:sz w:val="20"/>
          <w:szCs w:val="20"/>
        </w:rPr>
        <w:t xml:space="preserve"> and Suzannah Phill</w:t>
      </w:r>
      <w:r>
        <w:rPr>
          <w:sz w:val="20"/>
          <w:szCs w:val="20"/>
        </w:rPr>
        <w:t xml:space="preserve">ips, WEI Senior Legal Advisor, authored </w:t>
      </w:r>
      <w:r w:rsidRPr="00F0673F">
        <w:rPr>
          <w:sz w:val="20"/>
          <w:szCs w:val="20"/>
        </w:rPr>
        <w:t>this document</w:t>
      </w:r>
      <w:r>
        <w:rPr>
          <w:sz w:val="20"/>
          <w:szCs w:val="20"/>
        </w:rPr>
        <w:t xml:space="preserve"> with significant support and input from </w:t>
      </w:r>
      <w:proofErr w:type="spellStart"/>
      <w:r>
        <w:rPr>
          <w:sz w:val="20"/>
          <w:szCs w:val="20"/>
        </w:rPr>
        <w:t>Bubulina</w:t>
      </w:r>
      <w:proofErr w:type="spellEnd"/>
      <w:r>
        <w:rPr>
          <w:sz w:val="20"/>
          <w:szCs w:val="20"/>
        </w:rPr>
        <w:t xml:space="preserve"> Moreno (</w:t>
      </w:r>
      <w:proofErr w:type="spellStart"/>
      <w:r>
        <w:rPr>
          <w:sz w:val="20"/>
          <w:szCs w:val="20"/>
        </w:rPr>
        <w:t>Colectiva</w:t>
      </w:r>
      <w:proofErr w:type="spellEnd"/>
      <w:r>
        <w:rPr>
          <w:sz w:val="20"/>
          <w:szCs w:val="20"/>
        </w:rPr>
        <w:t xml:space="preserve"> </w:t>
      </w:r>
      <w:proofErr w:type="spellStart"/>
      <w:r>
        <w:rPr>
          <w:sz w:val="20"/>
          <w:szCs w:val="20"/>
        </w:rPr>
        <w:t>Polimorfas</w:t>
      </w:r>
      <w:proofErr w:type="spellEnd"/>
      <w:r>
        <w:rPr>
          <w:sz w:val="20"/>
          <w:szCs w:val="20"/>
        </w:rPr>
        <w:t>), Natalia Acevedo (</w:t>
      </w:r>
      <w:proofErr w:type="spellStart"/>
      <w:r>
        <w:rPr>
          <w:sz w:val="20"/>
          <w:szCs w:val="20"/>
        </w:rPr>
        <w:t>Profamilia</w:t>
      </w:r>
      <w:proofErr w:type="spellEnd"/>
      <w:r>
        <w:rPr>
          <w:sz w:val="20"/>
          <w:szCs w:val="20"/>
        </w:rPr>
        <w:t>), and Stephanie Ortoleva (WEI).</w:t>
      </w:r>
      <w:r w:rsidRPr="00F0673F">
        <w:rPr>
          <w:sz w:val="20"/>
          <w:szCs w:val="20"/>
        </w:rPr>
        <w:t xml:space="preserve"> Esther </w:t>
      </w:r>
      <w:proofErr w:type="spellStart"/>
      <w:r w:rsidRPr="00F0673F">
        <w:rPr>
          <w:sz w:val="20"/>
          <w:szCs w:val="20"/>
        </w:rPr>
        <w:t>Birlin-Spake</w:t>
      </w:r>
      <w:proofErr w:type="spellEnd"/>
      <w:r w:rsidRPr="00F0673F">
        <w:rPr>
          <w:sz w:val="20"/>
          <w:szCs w:val="20"/>
        </w:rPr>
        <w:t xml:space="preserve"> and Lourdes Elena South, students from American University Washington College of Law, </w:t>
      </w:r>
      <w:r>
        <w:rPr>
          <w:sz w:val="20"/>
          <w:szCs w:val="20"/>
        </w:rPr>
        <w:t>provided</w:t>
      </w:r>
      <w:r w:rsidRPr="00F0673F">
        <w:rPr>
          <w:sz w:val="20"/>
          <w:szCs w:val="20"/>
        </w:rPr>
        <w:t xml:space="preserve"> </w:t>
      </w:r>
      <w:r>
        <w:rPr>
          <w:sz w:val="20"/>
          <w:szCs w:val="20"/>
        </w:rPr>
        <w:t>legal research and drafting support</w:t>
      </w:r>
      <w:r w:rsidRPr="00F0673F">
        <w:rPr>
          <w:sz w:val="20"/>
          <w:szCs w:val="20"/>
        </w:rPr>
        <w:t>.</w:t>
      </w:r>
    </w:p>
  </w:endnote>
  <w:endnote w:id="2">
    <w:p w14:paraId="29C243E1" w14:textId="77777777" w:rsidR="00C937A5" w:rsidRPr="00F0673F" w:rsidRDefault="00C937A5" w:rsidP="00255789">
      <w:pPr>
        <w:widowControl w:val="0"/>
        <w:rPr>
          <w:rFonts w:eastAsia="Cambria"/>
          <w:i/>
          <w:sz w:val="20"/>
          <w:szCs w:val="20"/>
        </w:rPr>
      </w:pPr>
      <w:r w:rsidRPr="00F0673F">
        <w:rPr>
          <w:sz w:val="20"/>
          <w:szCs w:val="20"/>
          <w:vertAlign w:val="superscript"/>
        </w:rPr>
        <w:endnoteRef/>
      </w:r>
      <w:r w:rsidRPr="00F0673F">
        <w:rPr>
          <w:rFonts w:eastAsia="Cambria"/>
          <w:smallCaps/>
          <w:sz w:val="20"/>
          <w:szCs w:val="20"/>
        </w:rPr>
        <w:t xml:space="preserve"> World</w:t>
      </w:r>
      <w:r w:rsidRPr="00F0673F">
        <w:rPr>
          <w:rFonts w:eastAsia="Cambria"/>
          <w:sz w:val="20"/>
          <w:szCs w:val="20"/>
        </w:rPr>
        <w:t xml:space="preserve"> </w:t>
      </w:r>
      <w:r w:rsidRPr="00F0673F">
        <w:rPr>
          <w:rFonts w:eastAsia="Cambria"/>
          <w:smallCaps/>
          <w:sz w:val="20"/>
          <w:szCs w:val="20"/>
        </w:rPr>
        <w:t>Health Organization and World Bank</w:t>
      </w:r>
      <w:r w:rsidRPr="00F0673F">
        <w:rPr>
          <w:rFonts w:eastAsia="Cambria"/>
          <w:sz w:val="20"/>
          <w:szCs w:val="20"/>
        </w:rPr>
        <w:t xml:space="preserve">, </w:t>
      </w:r>
      <w:r w:rsidRPr="00F0673F">
        <w:rPr>
          <w:rFonts w:eastAsia="Cambria"/>
          <w:smallCaps/>
          <w:sz w:val="20"/>
          <w:szCs w:val="20"/>
        </w:rPr>
        <w:t xml:space="preserve">World Report on Disability </w:t>
      </w:r>
      <w:r w:rsidRPr="00F0673F">
        <w:rPr>
          <w:rFonts w:eastAsia="Cambria"/>
          <w:sz w:val="20"/>
          <w:szCs w:val="20"/>
        </w:rPr>
        <w:t>28-29 (2011).</w:t>
      </w:r>
    </w:p>
  </w:endnote>
  <w:endnote w:id="3">
    <w:p w14:paraId="1CB2E7E8" w14:textId="04077348" w:rsidR="00C937A5" w:rsidRPr="00F0673F" w:rsidRDefault="00C937A5" w:rsidP="00255789">
      <w:pPr>
        <w:widowControl w:val="0"/>
        <w:rPr>
          <w:rFonts w:eastAsia="Cambria"/>
          <w:sz w:val="20"/>
          <w:szCs w:val="20"/>
        </w:rPr>
      </w:pPr>
      <w:r w:rsidRPr="00F0673F">
        <w:rPr>
          <w:sz w:val="20"/>
          <w:szCs w:val="20"/>
          <w:vertAlign w:val="superscript"/>
        </w:rPr>
        <w:endnoteRef/>
      </w:r>
      <w:r w:rsidRPr="00F0673F">
        <w:rPr>
          <w:rFonts w:eastAsia="Cambria"/>
          <w:sz w:val="20"/>
          <w:szCs w:val="20"/>
        </w:rPr>
        <w:t xml:space="preserve"> </w:t>
      </w:r>
      <w:r w:rsidRPr="00F0673F">
        <w:rPr>
          <w:rFonts w:eastAsia="Cambria"/>
          <w:smallCaps/>
          <w:sz w:val="20"/>
          <w:szCs w:val="20"/>
        </w:rPr>
        <w:t xml:space="preserve">National Administrative Department of Statistics, Projection Clock, </w:t>
      </w:r>
      <w:hyperlink r:id="rId1" w:history="1">
        <w:r w:rsidRPr="00F0673F">
          <w:rPr>
            <w:rStyle w:val="Hyperlink"/>
            <w:sz w:val="20"/>
            <w:szCs w:val="20"/>
          </w:rPr>
          <w:t>http://www.dane.gov.co/reloj/</w:t>
        </w:r>
      </w:hyperlink>
      <w:r>
        <w:rPr>
          <w:rStyle w:val="Hyperlink"/>
          <w:sz w:val="20"/>
          <w:szCs w:val="20"/>
        </w:rPr>
        <w:t>.</w:t>
      </w:r>
    </w:p>
  </w:endnote>
  <w:endnote w:id="4">
    <w:p w14:paraId="1677689B" w14:textId="2AB8865D" w:rsidR="00C937A5" w:rsidRPr="00F0673F" w:rsidRDefault="00C937A5" w:rsidP="00255789">
      <w:pPr>
        <w:rPr>
          <w:sz w:val="20"/>
          <w:szCs w:val="20"/>
          <w:highlight w:val="yellow"/>
        </w:rPr>
      </w:pPr>
      <w:r w:rsidRPr="00F0673F">
        <w:rPr>
          <w:sz w:val="20"/>
          <w:szCs w:val="20"/>
          <w:vertAlign w:val="superscript"/>
        </w:rPr>
        <w:endnoteRef/>
      </w:r>
      <w:r w:rsidRPr="00F0673F">
        <w:rPr>
          <w:sz w:val="20"/>
          <w:szCs w:val="20"/>
        </w:rPr>
        <w:t xml:space="preserve"> </w:t>
      </w:r>
      <w:r w:rsidRPr="00F0673F">
        <w:rPr>
          <w:rFonts w:eastAsia="Cambria"/>
          <w:smallCaps/>
          <w:sz w:val="20"/>
          <w:szCs w:val="20"/>
        </w:rPr>
        <w:t xml:space="preserve">Alta </w:t>
      </w:r>
      <w:proofErr w:type="spellStart"/>
      <w:r w:rsidRPr="00F0673F">
        <w:rPr>
          <w:rFonts w:eastAsia="Cambria"/>
          <w:smallCaps/>
          <w:sz w:val="20"/>
          <w:szCs w:val="20"/>
        </w:rPr>
        <w:t>Consejería</w:t>
      </w:r>
      <w:proofErr w:type="spellEnd"/>
      <w:r w:rsidRPr="00F0673F">
        <w:rPr>
          <w:rFonts w:eastAsia="Cambria"/>
          <w:smallCaps/>
          <w:sz w:val="20"/>
          <w:szCs w:val="20"/>
        </w:rPr>
        <w:t xml:space="preserve"> </w:t>
      </w:r>
      <w:proofErr w:type="spellStart"/>
      <w:r w:rsidRPr="00F0673F">
        <w:rPr>
          <w:rFonts w:eastAsia="Cambria"/>
          <w:smallCaps/>
          <w:sz w:val="20"/>
          <w:szCs w:val="20"/>
        </w:rPr>
        <w:t>Presidencial</w:t>
      </w:r>
      <w:proofErr w:type="spellEnd"/>
      <w:r w:rsidRPr="00F0673F">
        <w:rPr>
          <w:rFonts w:eastAsia="Cambria"/>
          <w:smallCaps/>
          <w:sz w:val="20"/>
          <w:szCs w:val="20"/>
        </w:rPr>
        <w:t xml:space="preserve"> para la </w:t>
      </w:r>
      <w:proofErr w:type="spellStart"/>
      <w:r w:rsidRPr="00F0673F">
        <w:rPr>
          <w:rFonts w:eastAsia="Cambria"/>
          <w:smallCaps/>
          <w:sz w:val="20"/>
          <w:szCs w:val="20"/>
        </w:rPr>
        <w:t>Equidad</w:t>
      </w:r>
      <w:proofErr w:type="spellEnd"/>
      <w:r w:rsidRPr="00F0673F">
        <w:rPr>
          <w:rFonts w:eastAsia="Cambria"/>
          <w:smallCaps/>
          <w:sz w:val="20"/>
          <w:szCs w:val="20"/>
        </w:rPr>
        <w:t xml:space="preserve"> de la </w:t>
      </w:r>
      <w:proofErr w:type="spellStart"/>
      <w:r w:rsidRPr="00F0673F">
        <w:rPr>
          <w:rFonts w:eastAsia="Cambria"/>
          <w:smallCaps/>
          <w:sz w:val="20"/>
          <w:szCs w:val="20"/>
        </w:rPr>
        <w:t>Mujer</w:t>
      </w:r>
      <w:proofErr w:type="spellEnd"/>
      <w:r w:rsidRPr="00F0673F">
        <w:rPr>
          <w:rFonts w:eastAsia="Cambria"/>
          <w:smallCaps/>
          <w:sz w:val="20"/>
          <w:szCs w:val="20"/>
        </w:rPr>
        <w:t xml:space="preserve">, </w:t>
      </w:r>
      <w:proofErr w:type="spellStart"/>
      <w:r w:rsidRPr="00F0673F">
        <w:rPr>
          <w:rFonts w:eastAsia="Cambria"/>
          <w:smallCaps/>
          <w:sz w:val="20"/>
          <w:szCs w:val="20"/>
        </w:rPr>
        <w:t>Mujer</w:t>
      </w:r>
      <w:proofErr w:type="spellEnd"/>
      <w:r w:rsidRPr="00F0673F">
        <w:rPr>
          <w:rFonts w:eastAsia="Cambria"/>
          <w:smallCaps/>
          <w:sz w:val="20"/>
          <w:szCs w:val="20"/>
        </w:rPr>
        <w:t xml:space="preserve"> y </w:t>
      </w:r>
      <w:proofErr w:type="spellStart"/>
      <w:r w:rsidRPr="00F0673F">
        <w:rPr>
          <w:rFonts w:eastAsia="Cambria"/>
          <w:smallCaps/>
          <w:sz w:val="20"/>
          <w:szCs w:val="20"/>
        </w:rPr>
        <w:t>Discapacidad</w:t>
      </w:r>
      <w:proofErr w:type="spellEnd"/>
      <w:r w:rsidRPr="00F0673F">
        <w:rPr>
          <w:rFonts w:eastAsia="Cambria"/>
          <w:smallCaps/>
          <w:sz w:val="20"/>
          <w:szCs w:val="20"/>
        </w:rPr>
        <w:t xml:space="preserve"> </w:t>
      </w:r>
      <w:proofErr w:type="spellStart"/>
      <w:r w:rsidRPr="00F0673F">
        <w:rPr>
          <w:rFonts w:eastAsia="Cambria"/>
          <w:smallCaps/>
          <w:sz w:val="20"/>
          <w:szCs w:val="20"/>
        </w:rPr>
        <w:t>en</w:t>
      </w:r>
      <w:proofErr w:type="spellEnd"/>
      <w:r w:rsidRPr="00F0673F">
        <w:rPr>
          <w:rFonts w:eastAsia="Cambria"/>
          <w:smallCaps/>
          <w:sz w:val="20"/>
          <w:szCs w:val="20"/>
        </w:rPr>
        <w:t xml:space="preserve"> Colombia: </w:t>
      </w:r>
      <w:proofErr w:type="spellStart"/>
      <w:r w:rsidRPr="00F0673F">
        <w:rPr>
          <w:rFonts w:eastAsia="Cambria"/>
          <w:smallCaps/>
          <w:sz w:val="20"/>
          <w:szCs w:val="20"/>
        </w:rPr>
        <w:t>Boletín</w:t>
      </w:r>
      <w:proofErr w:type="spellEnd"/>
      <w:r w:rsidRPr="00F0673F">
        <w:rPr>
          <w:rFonts w:eastAsia="Cambria"/>
          <w:smallCaps/>
          <w:sz w:val="20"/>
          <w:szCs w:val="20"/>
        </w:rPr>
        <w:t xml:space="preserve"> No. 14 del </w:t>
      </w:r>
      <w:proofErr w:type="spellStart"/>
      <w:r w:rsidRPr="00F0673F">
        <w:rPr>
          <w:rFonts w:eastAsia="Cambria"/>
          <w:smallCaps/>
          <w:sz w:val="20"/>
          <w:szCs w:val="20"/>
        </w:rPr>
        <w:t>Observatorio</w:t>
      </w:r>
      <w:proofErr w:type="spellEnd"/>
      <w:r w:rsidRPr="00F0673F">
        <w:rPr>
          <w:rFonts w:eastAsia="Cambria"/>
          <w:smallCaps/>
          <w:sz w:val="20"/>
          <w:szCs w:val="20"/>
        </w:rPr>
        <w:t xml:space="preserve"> para </w:t>
      </w:r>
      <w:proofErr w:type="spellStart"/>
      <w:r w:rsidRPr="00F0673F">
        <w:rPr>
          <w:rFonts w:eastAsia="Cambria"/>
          <w:smallCaps/>
          <w:sz w:val="20"/>
          <w:szCs w:val="20"/>
        </w:rPr>
        <w:t>Asuntos</w:t>
      </w:r>
      <w:proofErr w:type="spellEnd"/>
      <w:r w:rsidRPr="00F0673F">
        <w:rPr>
          <w:rFonts w:eastAsia="Cambria"/>
          <w:smallCaps/>
          <w:sz w:val="20"/>
          <w:szCs w:val="20"/>
        </w:rPr>
        <w:t xml:space="preserve"> de </w:t>
      </w:r>
      <w:proofErr w:type="spellStart"/>
      <w:r w:rsidRPr="00F0673F">
        <w:rPr>
          <w:rFonts w:eastAsia="Cambria"/>
          <w:smallCaps/>
          <w:sz w:val="20"/>
          <w:szCs w:val="20"/>
        </w:rPr>
        <w:t>Género</w:t>
      </w:r>
      <w:proofErr w:type="spellEnd"/>
      <w:r w:rsidRPr="00F0673F">
        <w:rPr>
          <w:rFonts w:eastAsia="Cambria"/>
          <w:smallCaps/>
          <w:sz w:val="20"/>
          <w:szCs w:val="20"/>
        </w:rPr>
        <w:t>. 10 (2012)</w:t>
      </w:r>
      <w:r>
        <w:rPr>
          <w:rFonts w:eastAsia="Cambria"/>
          <w:smallCaps/>
          <w:sz w:val="20"/>
          <w:szCs w:val="20"/>
        </w:rPr>
        <w:t xml:space="preserve">, </w:t>
      </w:r>
      <w:r w:rsidRPr="00255789">
        <w:rPr>
          <w:rFonts w:eastAsia="Cambria"/>
          <w:i/>
          <w:sz w:val="20"/>
          <w:szCs w:val="20"/>
        </w:rPr>
        <w:t xml:space="preserve">available at </w:t>
      </w:r>
      <w:hyperlink r:id="rId2">
        <w:r w:rsidRPr="00F0673F">
          <w:rPr>
            <w:color w:val="1155CC"/>
            <w:sz w:val="20"/>
            <w:szCs w:val="20"/>
            <w:u w:val="single"/>
          </w:rPr>
          <w:t>http://www.equidadmujer.gov.co/oag/Documents/oag-boletin-14-mujer-y-discapacidad-en-colombia.pdf</w:t>
        </w:r>
      </w:hyperlink>
      <w:r>
        <w:rPr>
          <w:color w:val="1155CC"/>
          <w:sz w:val="20"/>
          <w:szCs w:val="20"/>
          <w:u w:val="single"/>
        </w:rPr>
        <w:t>.</w:t>
      </w:r>
    </w:p>
  </w:endnote>
  <w:endnote w:id="5">
    <w:p w14:paraId="2FAC94AB" w14:textId="3C59DAE4"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Pr>
          <w:i/>
          <w:sz w:val="20"/>
          <w:szCs w:val="20"/>
        </w:rPr>
        <w:t>See, e.g.</w:t>
      </w:r>
      <w:r>
        <w:rPr>
          <w:sz w:val="20"/>
          <w:szCs w:val="20"/>
        </w:rPr>
        <w:t xml:space="preserve">, </w:t>
      </w:r>
      <w:proofErr w:type="spellStart"/>
      <w:r w:rsidRPr="00F0673F">
        <w:rPr>
          <w:rFonts w:eastAsia="Cambria"/>
          <w:smallCaps/>
          <w:sz w:val="20"/>
          <w:szCs w:val="20"/>
        </w:rPr>
        <w:t>Asdown</w:t>
      </w:r>
      <w:proofErr w:type="spellEnd"/>
      <w:r w:rsidRPr="00F0673F">
        <w:rPr>
          <w:rFonts w:eastAsia="Cambria"/>
          <w:smallCaps/>
          <w:sz w:val="20"/>
          <w:szCs w:val="20"/>
        </w:rPr>
        <w:t xml:space="preserve"> Colombia, PAIIS, </w:t>
      </w:r>
      <w:proofErr w:type="spellStart"/>
      <w:r w:rsidRPr="00F0673F">
        <w:rPr>
          <w:rFonts w:eastAsia="Cambria"/>
          <w:smallCaps/>
          <w:sz w:val="20"/>
          <w:szCs w:val="20"/>
        </w:rPr>
        <w:t>Profamilia</w:t>
      </w:r>
      <w:proofErr w:type="spellEnd"/>
      <w:r w:rsidRPr="00F0673F">
        <w:rPr>
          <w:rFonts w:eastAsia="Cambria"/>
          <w:smallCaps/>
          <w:sz w:val="20"/>
          <w:szCs w:val="20"/>
        </w:rPr>
        <w:t xml:space="preserve">, et.al. </w:t>
      </w:r>
      <w:proofErr w:type="spellStart"/>
      <w:r w:rsidRPr="00F0673F">
        <w:rPr>
          <w:rFonts w:eastAsia="Cambria"/>
          <w:smallCaps/>
          <w:sz w:val="20"/>
          <w:szCs w:val="20"/>
        </w:rPr>
        <w:t>Capacidad</w:t>
      </w:r>
      <w:proofErr w:type="spellEnd"/>
      <w:r w:rsidRPr="00F0673F">
        <w:rPr>
          <w:rFonts w:eastAsia="Cambria"/>
          <w:smallCaps/>
          <w:sz w:val="20"/>
          <w:szCs w:val="20"/>
        </w:rPr>
        <w:t xml:space="preserve"> </w:t>
      </w:r>
      <w:proofErr w:type="spellStart"/>
      <w:r w:rsidRPr="00F0673F">
        <w:rPr>
          <w:rFonts w:eastAsia="Cambria"/>
          <w:smallCaps/>
          <w:sz w:val="20"/>
          <w:szCs w:val="20"/>
        </w:rPr>
        <w:t>Jurídica</w:t>
      </w:r>
      <w:proofErr w:type="spellEnd"/>
      <w:r w:rsidRPr="00F0673F">
        <w:rPr>
          <w:rFonts w:eastAsia="Cambria"/>
          <w:smallCaps/>
          <w:sz w:val="20"/>
          <w:szCs w:val="20"/>
        </w:rPr>
        <w:t xml:space="preserve"> y Derechos </w:t>
      </w:r>
      <w:proofErr w:type="spellStart"/>
      <w:r w:rsidRPr="00F0673F">
        <w:rPr>
          <w:rFonts w:eastAsia="Cambria"/>
          <w:smallCaps/>
          <w:sz w:val="20"/>
          <w:szCs w:val="20"/>
        </w:rPr>
        <w:t>Sexuales</w:t>
      </w:r>
      <w:proofErr w:type="spellEnd"/>
      <w:r w:rsidRPr="00F0673F">
        <w:rPr>
          <w:rFonts w:eastAsia="Cambria"/>
          <w:smallCaps/>
          <w:sz w:val="20"/>
          <w:szCs w:val="20"/>
        </w:rPr>
        <w:t xml:space="preserve"> y </w:t>
      </w:r>
      <w:proofErr w:type="spellStart"/>
      <w:r w:rsidRPr="00F0673F">
        <w:rPr>
          <w:rFonts w:eastAsia="Cambria"/>
          <w:smallCaps/>
          <w:sz w:val="20"/>
          <w:szCs w:val="20"/>
        </w:rPr>
        <w:t>Reproductivos</w:t>
      </w:r>
      <w:proofErr w:type="spellEnd"/>
      <w:r w:rsidRPr="00F0673F">
        <w:rPr>
          <w:rFonts w:eastAsia="Cambria"/>
          <w:smallCaps/>
          <w:sz w:val="20"/>
          <w:szCs w:val="20"/>
        </w:rPr>
        <w:t xml:space="preserve"> de las Personas con </w:t>
      </w:r>
      <w:proofErr w:type="spellStart"/>
      <w:r w:rsidRPr="00F0673F">
        <w:rPr>
          <w:rFonts w:eastAsia="Cambria"/>
          <w:smallCaps/>
          <w:sz w:val="20"/>
          <w:szCs w:val="20"/>
        </w:rPr>
        <w:t>Discapacidad</w:t>
      </w:r>
      <w:proofErr w:type="spellEnd"/>
      <w:r w:rsidRPr="00F0673F">
        <w:rPr>
          <w:rFonts w:eastAsia="Cambria"/>
          <w:smallCaps/>
          <w:sz w:val="20"/>
          <w:szCs w:val="20"/>
        </w:rPr>
        <w:t xml:space="preserve"> </w:t>
      </w:r>
      <w:proofErr w:type="spellStart"/>
      <w:r w:rsidRPr="00F0673F">
        <w:rPr>
          <w:rFonts w:eastAsia="Cambria"/>
          <w:smallCaps/>
          <w:sz w:val="20"/>
          <w:szCs w:val="20"/>
        </w:rPr>
        <w:t>en</w:t>
      </w:r>
      <w:proofErr w:type="spellEnd"/>
      <w:r w:rsidRPr="00F0673F">
        <w:rPr>
          <w:rFonts w:eastAsia="Cambria"/>
          <w:smallCaps/>
          <w:sz w:val="20"/>
          <w:szCs w:val="20"/>
        </w:rPr>
        <w:t xml:space="preserve"> Colombia</w:t>
      </w:r>
      <w:r>
        <w:rPr>
          <w:sz w:val="20"/>
          <w:szCs w:val="20"/>
        </w:rPr>
        <w:t xml:space="preserve"> (2014) (</w:t>
      </w:r>
      <w:r w:rsidRPr="00F0673F">
        <w:rPr>
          <w:sz w:val="20"/>
          <w:szCs w:val="20"/>
        </w:rPr>
        <w:t xml:space="preserve">This one is the only </w:t>
      </w:r>
      <w:r>
        <w:rPr>
          <w:sz w:val="20"/>
          <w:szCs w:val="20"/>
        </w:rPr>
        <w:t>research into these issues that makes the</w:t>
      </w:r>
      <w:r w:rsidRPr="00F0673F">
        <w:rPr>
          <w:sz w:val="20"/>
          <w:szCs w:val="20"/>
        </w:rPr>
        <w:t xml:space="preserve"> </w:t>
      </w:r>
      <w:r>
        <w:rPr>
          <w:sz w:val="20"/>
          <w:szCs w:val="20"/>
        </w:rPr>
        <w:t>full result of the study</w:t>
      </w:r>
      <w:r w:rsidRPr="00F0673F">
        <w:rPr>
          <w:sz w:val="20"/>
          <w:szCs w:val="20"/>
        </w:rPr>
        <w:t xml:space="preserve"> available online.</w:t>
      </w:r>
      <w:r>
        <w:rPr>
          <w:sz w:val="20"/>
          <w:szCs w:val="20"/>
        </w:rPr>
        <w:t xml:space="preserve">), </w:t>
      </w:r>
      <w:r>
        <w:rPr>
          <w:i/>
          <w:sz w:val="20"/>
          <w:szCs w:val="20"/>
        </w:rPr>
        <w:t>available at</w:t>
      </w:r>
      <w:r w:rsidRPr="00F0673F">
        <w:rPr>
          <w:sz w:val="20"/>
          <w:szCs w:val="20"/>
        </w:rPr>
        <w:t xml:space="preserve">  </w:t>
      </w:r>
      <w:hyperlink r:id="rId3" w:history="1">
        <w:r w:rsidRPr="00F0673F">
          <w:rPr>
            <w:rStyle w:val="Hyperlink"/>
            <w:sz w:val="20"/>
            <w:szCs w:val="20"/>
          </w:rPr>
          <w:t>https://paiis.uniandes.edu.co/images/publicaciones/OSI_FINAL_Informe_XI_10_14_ajustado__V4.pdf</w:t>
        </w:r>
      </w:hyperlink>
      <w:r>
        <w:rPr>
          <w:rStyle w:val="Hyperlink"/>
          <w:sz w:val="20"/>
          <w:szCs w:val="20"/>
        </w:rPr>
        <w:t>.</w:t>
      </w:r>
    </w:p>
  </w:endnote>
  <w:endnote w:id="6">
    <w:p w14:paraId="0AD02949" w14:textId="5109B58E"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Pr>
          <w:sz w:val="20"/>
          <w:szCs w:val="20"/>
        </w:rPr>
        <w:t>Committee on the Rights of Persons with Disabilities (</w:t>
      </w:r>
      <w:r w:rsidRPr="00F0673F">
        <w:rPr>
          <w:sz w:val="20"/>
          <w:szCs w:val="20"/>
        </w:rPr>
        <w:t>CRPD Committee</w:t>
      </w:r>
      <w:r>
        <w:rPr>
          <w:sz w:val="20"/>
          <w:szCs w:val="20"/>
        </w:rPr>
        <w:t>)</w:t>
      </w:r>
      <w:r w:rsidRPr="00F0673F">
        <w:rPr>
          <w:sz w:val="20"/>
          <w:szCs w:val="20"/>
        </w:rPr>
        <w:t xml:space="preserve">, </w:t>
      </w:r>
      <w:r w:rsidRPr="00F0673F">
        <w:rPr>
          <w:i/>
          <w:sz w:val="20"/>
          <w:szCs w:val="20"/>
        </w:rPr>
        <w:t>Concluding observations: Colombia</w:t>
      </w:r>
      <w:r w:rsidRPr="00F0673F">
        <w:rPr>
          <w:sz w:val="20"/>
          <w:szCs w:val="20"/>
        </w:rPr>
        <w:t>. ¶¶ 30-31, U.N. Doc. CRPD/C/COL/CO/1 (2016).</w:t>
      </w:r>
    </w:p>
  </w:endnote>
  <w:endnote w:id="7">
    <w:p w14:paraId="6ECC7BBB" w14:textId="5FB469BB"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C.C. (</w:t>
      </w:r>
      <w:r w:rsidRPr="00F0673F">
        <w:rPr>
          <w:sz w:val="20"/>
          <w:szCs w:val="20"/>
        </w:rPr>
        <w:t xml:space="preserve">Civil Code), art. 1504. (Colom.) </w:t>
      </w:r>
      <w:r>
        <w:rPr>
          <w:sz w:val="20"/>
          <w:szCs w:val="20"/>
        </w:rPr>
        <w:t>(</w:t>
      </w:r>
      <w:r w:rsidRPr="00F0673F">
        <w:rPr>
          <w:sz w:val="20"/>
          <w:szCs w:val="20"/>
        </w:rPr>
        <w:t>“People who are deemed absolutely incapable include people with mental disabilities, prepubescent and deaf persons who cannot make themselves understood. Their actions do not result in even natural obligations and are not plausible for bond.”</w:t>
      </w:r>
      <w:r>
        <w:rPr>
          <w:sz w:val="20"/>
          <w:szCs w:val="20"/>
        </w:rPr>
        <w:t>).</w:t>
      </w:r>
    </w:p>
  </w:endnote>
  <w:endnote w:id="8">
    <w:p w14:paraId="35B3A733" w14:textId="020621D9"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F0673F">
        <w:rPr>
          <w:bCs/>
          <w:smallCaps/>
          <w:color w:val="000000" w:themeColor="text1"/>
          <w:sz w:val="20"/>
          <w:szCs w:val="20"/>
          <w:shd w:val="clear" w:color="auto" w:fill="FFFFFF"/>
        </w:rPr>
        <w:t>Coercive care: rights, law and policy</w:t>
      </w:r>
      <w:r>
        <w:rPr>
          <w:bCs/>
          <w:color w:val="000000" w:themeColor="text1"/>
          <w:sz w:val="20"/>
          <w:szCs w:val="20"/>
          <w:shd w:val="clear" w:color="auto" w:fill="FFFFFF"/>
        </w:rPr>
        <w:t xml:space="preserve"> 61</w:t>
      </w:r>
      <w:r w:rsidRPr="00F0673F">
        <w:rPr>
          <w:bCs/>
          <w:color w:val="000000" w:themeColor="text1"/>
          <w:sz w:val="20"/>
          <w:szCs w:val="20"/>
          <w:shd w:val="clear" w:color="auto" w:fill="FFFFFF"/>
        </w:rPr>
        <w:t xml:space="preserve"> (Bernadette </w:t>
      </w:r>
      <w:proofErr w:type="spellStart"/>
      <w:r w:rsidRPr="00F0673F">
        <w:rPr>
          <w:bCs/>
          <w:color w:val="000000" w:themeColor="text1"/>
          <w:sz w:val="20"/>
          <w:szCs w:val="20"/>
          <w:shd w:val="clear" w:color="auto" w:fill="FFFFFF"/>
        </w:rPr>
        <w:t>McSherry</w:t>
      </w:r>
      <w:proofErr w:type="spellEnd"/>
      <w:r w:rsidRPr="00F0673F">
        <w:rPr>
          <w:bCs/>
          <w:color w:val="000000" w:themeColor="text1"/>
          <w:sz w:val="20"/>
          <w:szCs w:val="20"/>
          <w:shd w:val="clear" w:color="auto" w:fill="FFFFFF"/>
        </w:rPr>
        <w:t xml:space="preserve"> &amp; Ian R. </w:t>
      </w:r>
      <w:proofErr w:type="spellStart"/>
      <w:r w:rsidRPr="00F0673F">
        <w:rPr>
          <w:bCs/>
          <w:color w:val="000000" w:themeColor="text1"/>
          <w:sz w:val="20"/>
          <w:szCs w:val="20"/>
          <w:shd w:val="clear" w:color="auto" w:fill="FFFFFF"/>
        </w:rPr>
        <w:t>Freckelton</w:t>
      </w:r>
      <w:proofErr w:type="spellEnd"/>
      <w:r w:rsidRPr="00F0673F">
        <w:rPr>
          <w:bCs/>
          <w:color w:val="000000" w:themeColor="text1"/>
          <w:sz w:val="20"/>
          <w:szCs w:val="20"/>
          <w:shd w:val="clear" w:color="auto" w:fill="FFFFFF"/>
        </w:rPr>
        <w:t xml:space="preserve"> eds., 2015)</w:t>
      </w:r>
      <w:r w:rsidRPr="00F0673F">
        <w:rPr>
          <w:rFonts w:eastAsia="Arial"/>
          <w:sz w:val="20"/>
          <w:szCs w:val="20"/>
        </w:rPr>
        <w:t>.</w:t>
      </w:r>
    </w:p>
  </w:endnote>
  <w:endnote w:id="9">
    <w:p w14:paraId="7E632E29" w14:textId="1C27E71E"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21 (Colom.)</w:t>
      </w:r>
      <w:r>
        <w:rPr>
          <w:sz w:val="20"/>
          <w:szCs w:val="20"/>
          <w:lang w:val="es-ES"/>
        </w:rPr>
        <w:t>.</w:t>
      </w:r>
    </w:p>
  </w:endnote>
  <w:endnote w:id="10">
    <w:p w14:paraId="72C0C5B9" w14:textId="1E55D440"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50 (Colom.)</w:t>
      </w:r>
      <w:r>
        <w:rPr>
          <w:sz w:val="20"/>
          <w:szCs w:val="20"/>
          <w:lang w:val="es-ES"/>
        </w:rPr>
        <w:t>.</w:t>
      </w:r>
    </w:p>
  </w:endnote>
  <w:endnote w:id="11">
    <w:p w14:paraId="619F8C8F" w14:textId="14134FE9"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w:t>
      </w:r>
      <w:r w:rsidRPr="00F0673F">
        <w:rPr>
          <w:i/>
          <w:sz w:val="20"/>
          <w:szCs w:val="20"/>
        </w:rPr>
        <w:t xml:space="preserve">Id. </w:t>
      </w:r>
    </w:p>
  </w:endnote>
  <w:endnote w:id="12">
    <w:p w14:paraId="6767C362" w14:textId="0E70F438"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30 (Colom.)</w:t>
      </w:r>
      <w:r>
        <w:rPr>
          <w:sz w:val="20"/>
          <w:szCs w:val="20"/>
          <w:lang w:val="es-ES"/>
        </w:rPr>
        <w:t>.</w:t>
      </w:r>
    </w:p>
  </w:endnote>
  <w:endnote w:id="13">
    <w:p w14:paraId="26165719" w14:textId="4307DA74"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proofErr w:type="spellStart"/>
      <w:r w:rsidRPr="00F0673F">
        <w:rPr>
          <w:rFonts w:eastAsia="Cambria"/>
          <w:smallCaps/>
          <w:sz w:val="20"/>
          <w:szCs w:val="20"/>
        </w:rPr>
        <w:t>Código</w:t>
      </w:r>
      <w:proofErr w:type="spellEnd"/>
      <w:r w:rsidRPr="00F0673F">
        <w:rPr>
          <w:rFonts w:eastAsia="Cambria"/>
          <w:smallCaps/>
          <w:sz w:val="20"/>
          <w:szCs w:val="20"/>
        </w:rPr>
        <w:t xml:space="preserve"> General del </w:t>
      </w:r>
      <w:proofErr w:type="spellStart"/>
      <w:r w:rsidRPr="00F0673F">
        <w:rPr>
          <w:rFonts w:eastAsia="Cambria"/>
          <w:smallCaps/>
          <w:sz w:val="20"/>
          <w:szCs w:val="20"/>
        </w:rPr>
        <w:t>Proceso</w:t>
      </w:r>
      <w:proofErr w:type="spellEnd"/>
      <w:r w:rsidRPr="00F0673F">
        <w:rPr>
          <w:sz w:val="20"/>
          <w:szCs w:val="20"/>
          <w:lang w:val="es-ES"/>
        </w:rPr>
        <w:t>, art. 210 (Colom.).</w:t>
      </w:r>
    </w:p>
  </w:endnote>
  <w:endnote w:id="14">
    <w:p w14:paraId="5D2E240C" w14:textId="1EC33D00"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88 (Colom.).</w:t>
      </w:r>
    </w:p>
  </w:endnote>
  <w:endnote w:id="15">
    <w:p w14:paraId="0FBC7981" w14:textId="1591FDD2"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The Colombian Institute for Family Welfare (ICBF) is in charge of children and adolescents. It has jurisdiction over adults only when they have “absolute mental disability”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18 (Colom.)</w:t>
      </w:r>
      <w:r w:rsidRPr="00F0673F">
        <w:rPr>
          <w:sz w:val="20"/>
          <w:szCs w:val="20"/>
        </w:rPr>
        <w:t>), which necessarily means that they must be under plenary guardianship. As a result, programs for adults with disabilities provided by the ICBF necessarily require guardianship.</w:t>
      </w:r>
      <w:r w:rsidRPr="00F0673F">
        <w:rPr>
          <w:sz w:val="20"/>
          <w:szCs w:val="20"/>
          <w:lang w:val="es-ES"/>
        </w:rPr>
        <w:t xml:space="preserve"> Hogar Gestor (</w:t>
      </w:r>
      <w:proofErr w:type="spellStart"/>
      <w:r w:rsidRPr="00F0673F">
        <w:rPr>
          <w:sz w:val="20"/>
          <w:szCs w:val="20"/>
          <w:lang w:val="es-ES"/>
        </w:rPr>
        <w:t>Agent</w:t>
      </w:r>
      <w:proofErr w:type="spellEnd"/>
      <w:r w:rsidRPr="00F0673F">
        <w:rPr>
          <w:sz w:val="20"/>
          <w:szCs w:val="20"/>
          <w:lang w:val="es-ES"/>
        </w:rPr>
        <w:t xml:space="preserve"> Home) </w:t>
      </w:r>
      <w:proofErr w:type="spellStart"/>
      <w:r w:rsidRPr="00F0673F">
        <w:rPr>
          <w:sz w:val="20"/>
          <w:szCs w:val="20"/>
          <w:lang w:val="es-ES"/>
        </w:rPr>
        <w:t>is</w:t>
      </w:r>
      <w:proofErr w:type="spellEnd"/>
      <w:r w:rsidRPr="00F0673F">
        <w:rPr>
          <w:sz w:val="20"/>
          <w:szCs w:val="20"/>
          <w:lang w:val="es-ES"/>
        </w:rPr>
        <w:t xml:space="preserve"> </w:t>
      </w:r>
      <w:proofErr w:type="spellStart"/>
      <w:r w:rsidRPr="00F0673F">
        <w:rPr>
          <w:sz w:val="20"/>
          <w:szCs w:val="20"/>
          <w:lang w:val="es-ES"/>
        </w:rPr>
        <w:t>one</w:t>
      </w:r>
      <w:proofErr w:type="spellEnd"/>
      <w:r w:rsidRPr="00F0673F">
        <w:rPr>
          <w:sz w:val="20"/>
          <w:szCs w:val="20"/>
          <w:lang w:val="es-ES"/>
        </w:rPr>
        <w:t xml:space="preserve"> of </w:t>
      </w:r>
      <w:proofErr w:type="spellStart"/>
      <w:r w:rsidRPr="00F0673F">
        <w:rPr>
          <w:sz w:val="20"/>
          <w:szCs w:val="20"/>
          <w:lang w:val="es-ES"/>
        </w:rPr>
        <w:t>these</w:t>
      </w:r>
      <w:proofErr w:type="spellEnd"/>
      <w:r w:rsidRPr="00F0673F">
        <w:rPr>
          <w:sz w:val="20"/>
          <w:szCs w:val="20"/>
          <w:lang w:val="es-ES"/>
        </w:rPr>
        <w:t xml:space="preserve"> </w:t>
      </w:r>
      <w:proofErr w:type="spellStart"/>
      <w:r w:rsidRPr="00F0673F">
        <w:rPr>
          <w:sz w:val="20"/>
          <w:szCs w:val="20"/>
          <w:lang w:val="es-ES"/>
        </w:rPr>
        <w:t>programs</w:t>
      </w:r>
      <w:proofErr w:type="spellEnd"/>
      <w:r w:rsidRPr="00F0673F">
        <w:rPr>
          <w:sz w:val="20"/>
          <w:szCs w:val="20"/>
          <w:lang w:val="es-ES"/>
        </w:rPr>
        <w:t xml:space="preserve">, </w:t>
      </w:r>
      <w:proofErr w:type="spellStart"/>
      <w:r w:rsidRPr="00F0673F">
        <w:rPr>
          <w:sz w:val="20"/>
          <w:szCs w:val="20"/>
          <w:lang w:val="es-ES"/>
        </w:rPr>
        <w:t>providing</w:t>
      </w:r>
      <w:proofErr w:type="spellEnd"/>
      <w:r w:rsidRPr="00F0673F">
        <w:rPr>
          <w:sz w:val="20"/>
          <w:szCs w:val="20"/>
          <w:lang w:val="es-ES"/>
        </w:rPr>
        <w:t xml:space="preserve"> a </w:t>
      </w:r>
      <w:proofErr w:type="spellStart"/>
      <w:r w:rsidRPr="00F0673F">
        <w:rPr>
          <w:sz w:val="20"/>
          <w:szCs w:val="20"/>
          <w:lang w:val="es-ES"/>
        </w:rPr>
        <w:t>stipend</w:t>
      </w:r>
      <w:proofErr w:type="spellEnd"/>
      <w:r w:rsidRPr="00F0673F">
        <w:rPr>
          <w:sz w:val="20"/>
          <w:szCs w:val="20"/>
          <w:lang w:val="es-ES"/>
        </w:rPr>
        <w:t xml:space="preserve"> as </w:t>
      </w:r>
      <w:proofErr w:type="spellStart"/>
      <w:r w:rsidRPr="00F0673F">
        <w:rPr>
          <w:sz w:val="20"/>
          <w:szCs w:val="20"/>
          <w:lang w:val="es-ES"/>
        </w:rPr>
        <w:t>well</w:t>
      </w:r>
      <w:proofErr w:type="spellEnd"/>
      <w:r w:rsidRPr="00F0673F">
        <w:rPr>
          <w:sz w:val="20"/>
          <w:szCs w:val="20"/>
          <w:lang w:val="es-ES"/>
        </w:rPr>
        <w:t xml:space="preserve"> as </w:t>
      </w:r>
      <w:proofErr w:type="spellStart"/>
      <w:r w:rsidRPr="00F0673F">
        <w:rPr>
          <w:sz w:val="20"/>
          <w:szCs w:val="20"/>
          <w:lang w:val="es-ES"/>
        </w:rPr>
        <w:t>psychlogical</w:t>
      </w:r>
      <w:proofErr w:type="spellEnd"/>
      <w:r w:rsidRPr="00F0673F">
        <w:rPr>
          <w:sz w:val="20"/>
          <w:szCs w:val="20"/>
          <w:lang w:val="es-ES"/>
        </w:rPr>
        <w:t xml:space="preserve"> </w:t>
      </w:r>
      <w:proofErr w:type="spellStart"/>
      <w:r w:rsidRPr="00F0673F">
        <w:rPr>
          <w:sz w:val="20"/>
          <w:szCs w:val="20"/>
          <w:lang w:val="es-ES"/>
        </w:rPr>
        <w:t>assesment</w:t>
      </w:r>
      <w:proofErr w:type="spellEnd"/>
      <w:r w:rsidRPr="00F0673F">
        <w:rPr>
          <w:sz w:val="20"/>
          <w:szCs w:val="20"/>
          <w:lang w:val="es-ES"/>
        </w:rPr>
        <w:t xml:space="preserve"> </w:t>
      </w:r>
      <w:proofErr w:type="spellStart"/>
      <w:r w:rsidRPr="00F0673F">
        <w:rPr>
          <w:sz w:val="20"/>
          <w:szCs w:val="20"/>
          <w:lang w:val="es-ES"/>
        </w:rPr>
        <w:t>for</w:t>
      </w:r>
      <w:proofErr w:type="spellEnd"/>
      <w:r w:rsidRPr="00F0673F">
        <w:rPr>
          <w:sz w:val="20"/>
          <w:szCs w:val="20"/>
          <w:lang w:val="es-ES"/>
        </w:rPr>
        <w:t xml:space="preserve"> </w:t>
      </w:r>
      <w:proofErr w:type="spellStart"/>
      <w:r w:rsidRPr="00F0673F">
        <w:rPr>
          <w:sz w:val="20"/>
          <w:szCs w:val="20"/>
          <w:lang w:val="es-ES"/>
        </w:rPr>
        <w:t>adults</w:t>
      </w:r>
      <w:proofErr w:type="spellEnd"/>
      <w:r w:rsidRPr="00F0673F">
        <w:rPr>
          <w:sz w:val="20"/>
          <w:szCs w:val="20"/>
          <w:lang w:val="es-ES"/>
        </w:rPr>
        <w:t xml:space="preserve"> </w:t>
      </w:r>
      <w:proofErr w:type="spellStart"/>
      <w:r w:rsidRPr="00F0673F">
        <w:rPr>
          <w:sz w:val="20"/>
          <w:szCs w:val="20"/>
          <w:lang w:val="es-ES"/>
        </w:rPr>
        <w:t>with</w:t>
      </w:r>
      <w:proofErr w:type="spellEnd"/>
      <w:r w:rsidRPr="00F0673F">
        <w:rPr>
          <w:sz w:val="20"/>
          <w:szCs w:val="20"/>
          <w:lang w:val="es-ES"/>
        </w:rPr>
        <w:t xml:space="preserve"> </w:t>
      </w:r>
      <w:proofErr w:type="spellStart"/>
      <w:r w:rsidRPr="00F0673F">
        <w:rPr>
          <w:sz w:val="20"/>
          <w:szCs w:val="20"/>
          <w:lang w:val="es-ES"/>
        </w:rPr>
        <w:t>disabilities</w:t>
      </w:r>
      <w:proofErr w:type="spellEnd"/>
      <w:r w:rsidRPr="00F0673F">
        <w:rPr>
          <w:sz w:val="20"/>
          <w:szCs w:val="20"/>
          <w:lang w:val="es-ES"/>
        </w:rPr>
        <w:t xml:space="preserve">, </w:t>
      </w:r>
      <w:proofErr w:type="spellStart"/>
      <w:r w:rsidRPr="00F0673F">
        <w:rPr>
          <w:sz w:val="20"/>
          <w:szCs w:val="20"/>
          <w:lang w:val="es-ES"/>
        </w:rPr>
        <w:t>requiring</w:t>
      </w:r>
      <w:proofErr w:type="spellEnd"/>
      <w:r w:rsidRPr="00F0673F">
        <w:rPr>
          <w:sz w:val="20"/>
          <w:szCs w:val="20"/>
          <w:lang w:val="es-ES"/>
        </w:rPr>
        <w:t xml:space="preserve"> </w:t>
      </w:r>
      <w:proofErr w:type="spellStart"/>
      <w:r w:rsidRPr="00F0673F">
        <w:rPr>
          <w:sz w:val="20"/>
          <w:szCs w:val="20"/>
          <w:lang w:val="es-ES"/>
        </w:rPr>
        <w:t>plenary</w:t>
      </w:r>
      <w:proofErr w:type="spellEnd"/>
      <w:r w:rsidRPr="00F0673F">
        <w:rPr>
          <w:sz w:val="20"/>
          <w:szCs w:val="20"/>
          <w:lang w:val="es-ES"/>
        </w:rPr>
        <w:t xml:space="preserve"> </w:t>
      </w:r>
      <w:proofErr w:type="spellStart"/>
      <w:r w:rsidRPr="00F0673F">
        <w:rPr>
          <w:sz w:val="20"/>
          <w:szCs w:val="20"/>
          <w:lang w:val="es-ES"/>
        </w:rPr>
        <w:t>guardianship</w:t>
      </w:r>
      <w:proofErr w:type="spellEnd"/>
      <w:r w:rsidRPr="00F0673F">
        <w:rPr>
          <w:sz w:val="20"/>
          <w:szCs w:val="20"/>
          <w:lang w:val="es-ES"/>
        </w:rPr>
        <w:t xml:space="preserve"> to </w:t>
      </w:r>
      <w:proofErr w:type="spellStart"/>
      <w:r w:rsidRPr="00F0673F">
        <w:rPr>
          <w:sz w:val="20"/>
          <w:szCs w:val="20"/>
          <w:lang w:val="es-ES"/>
        </w:rPr>
        <w:t>qualify</w:t>
      </w:r>
      <w:proofErr w:type="spellEnd"/>
      <w:r w:rsidRPr="00F0673F">
        <w:rPr>
          <w:sz w:val="20"/>
          <w:szCs w:val="20"/>
          <w:lang w:val="es-ES"/>
        </w:rPr>
        <w:t xml:space="preserve"> as a </w:t>
      </w:r>
      <w:proofErr w:type="spellStart"/>
      <w:r w:rsidRPr="00F0673F">
        <w:rPr>
          <w:sz w:val="20"/>
          <w:szCs w:val="20"/>
          <w:lang w:val="es-ES"/>
        </w:rPr>
        <w:t>recipient</w:t>
      </w:r>
      <w:proofErr w:type="spellEnd"/>
      <w:r w:rsidRPr="00F0673F">
        <w:rPr>
          <w:sz w:val="20"/>
          <w:szCs w:val="20"/>
          <w:lang w:val="es-ES"/>
        </w:rPr>
        <w:t xml:space="preserve">. </w:t>
      </w:r>
    </w:p>
  </w:endnote>
  <w:endnote w:id="16">
    <w:p w14:paraId="2E9EF1E5" w14:textId="683683F3"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25.2 (Colom.)</w:t>
      </w:r>
      <w:r>
        <w:rPr>
          <w:sz w:val="20"/>
          <w:szCs w:val="20"/>
          <w:lang w:val="es-ES"/>
        </w:rPr>
        <w:t>.</w:t>
      </w:r>
    </w:p>
  </w:endnote>
  <w:endnote w:id="17">
    <w:p w14:paraId="13EE0DC5" w14:textId="01BDE38C"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Testimony of Andrea Cortés, on file with authors.</w:t>
      </w:r>
    </w:p>
  </w:endnote>
  <w:endnote w:id="18">
    <w:p w14:paraId="2CB94590" w14:textId="1C6E8654"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General Comment No. 1: Article 12: Equal recognition before the law</w:t>
      </w:r>
      <w:r w:rsidRPr="00F0673F">
        <w:rPr>
          <w:sz w:val="20"/>
          <w:szCs w:val="20"/>
        </w:rPr>
        <w:t xml:space="preserve"> (2014), ¶ 1. </w:t>
      </w:r>
    </w:p>
  </w:endnote>
  <w:endnote w:id="19">
    <w:p w14:paraId="1249464A" w14:textId="7CDC4478"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Pr>
          <w:i/>
          <w:sz w:val="20"/>
          <w:szCs w:val="20"/>
        </w:rPr>
        <w:t>Id.</w:t>
      </w:r>
      <w:r w:rsidRPr="00F0673F">
        <w:rPr>
          <w:sz w:val="20"/>
          <w:szCs w:val="20"/>
        </w:rPr>
        <w:t xml:space="preserve">, ¶ </w:t>
      </w:r>
      <w:r w:rsidRPr="00F0673F">
        <w:rPr>
          <w:sz w:val="20"/>
          <w:szCs w:val="20"/>
          <w:lang w:val="es-ES"/>
        </w:rPr>
        <w:t>15.</w:t>
      </w:r>
    </w:p>
  </w:endnote>
  <w:endnote w:id="20">
    <w:p w14:paraId="201A3656" w14:textId="7C2FF93B"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Pr>
          <w:sz w:val="20"/>
          <w:szCs w:val="20"/>
        </w:rPr>
        <w:t>Committee on Economic, Social, and Cultural Rights (</w:t>
      </w:r>
      <w:r w:rsidRPr="00F0673F">
        <w:rPr>
          <w:sz w:val="20"/>
          <w:szCs w:val="20"/>
        </w:rPr>
        <w:t>ESCR Committee</w:t>
      </w:r>
      <w:r>
        <w:rPr>
          <w:sz w:val="20"/>
          <w:szCs w:val="20"/>
        </w:rPr>
        <w:t>)</w:t>
      </w:r>
      <w:r w:rsidRPr="00F0673F">
        <w:rPr>
          <w:sz w:val="20"/>
          <w:szCs w:val="20"/>
        </w:rPr>
        <w:t xml:space="preserve">, </w:t>
      </w:r>
      <w:r w:rsidRPr="00F0673F">
        <w:rPr>
          <w:i/>
          <w:sz w:val="20"/>
          <w:szCs w:val="20"/>
        </w:rPr>
        <w:t>General Comment No. 5: Persons with Disabilities</w:t>
      </w:r>
      <w:r w:rsidRPr="00F0673F">
        <w:rPr>
          <w:sz w:val="20"/>
          <w:szCs w:val="20"/>
        </w:rPr>
        <w:t xml:space="preserve"> ¶ </w:t>
      </w:r>
      <w:r w:rsidRPr="00F0673F">
        <w:rPr>
          <w:sz w:val="20"/>
          <w:szCs w:val="20"/>
          <w:lang w:val="es-ES"/>
        </w:rPr>
        <w:t>5</w:t>
      </w:r>
      <w:r>
        <w:rPr>
          <w:sz w:val="20"/>
          <w:szCs w:val="20"/>
          <w:lang w:val="es-ES"/>
        </w:rPr>
        <w:t xml:space="preserve">, U.N. Doc. </w:t>
      </w:r>
      <w:r w:rsidRPr="00F0673F">
        <w:rPr>
          <w:sz w:val="20"/>
          <w:szCs w:val="20"/>
        </w:rPr>
        <w:t xml:space="preserve">E/1995/22 </w:t>
      </w:r>
      <w:r>
        <w:rPr>
          <w:sz w:val="20"/>
          <w:szCs w:val="20"/>
          <w:lang w:val="es-ES"/>
        </w:rPr>
        <w:t>(</w:t>
      </w:r>
      <w:r w:rsidRPr="00F0673F">
        <w:rPr>
          <w:sz w:val="20"/>
          <w:szCs w:val="20"/>
        </w:rPr>
        <w:t>1994)</w:t>
      </w:r>
      <w:r w:rsidRPr="00F0673F">
        <w:rPr>
          <w:sz w:val="20"/>
          <w:szCs w:val="20"/>
          <w:lang w:val="es-ES"/>
        </w:rPr>
        <w:t>.</w:t>
      </w:r>
    </w:p>
  </w:endnote>
  <w:endnote w:id="21">
    <w:p w14:paraId="33BA04DD" w14:textId="62A43CBC"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Testimony of Andrea Cortés, on file with authors.</w:t>
      </w:r>
    </w:p>
  </w:endnote>
  <w:endnote w:id="22">
    <w:p w14:paraId="333C97D9" w14:textId="41DA18CE"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 xml:space="preserve">Ministry of Health. Response to FOIA request made by Juan </w:t>
      </w:r>
      <w:proofErr w:type="spellStart"/>
      <w:r w:rsidRPr="00F0673F">
        <w:rPr>
          <w:rFonts w:eastAsia="Cambria"/>
          <w:smallCaps/>
          <w:sz w:val="20"/>
          <w:szCs w:val="20"/>
        </w:rPr>
        <w:t>Sebastián</w:t>
      </w:r>
      <w:proofErr w:type="spellEnd"/>
      <w:r w:rsidRPr="00F0673F">
        <w:rPr>
          <w:rFonts w:eastAsia="Cambria"/>
          <w:smallCaps/>
          <w:sz w:val="20"/>
          <w:szCs w:val="20"/>
        </w:rPr>
        <w:t xml:space="preserve"> Jaime Pardo, Reference 201621000881231, M</w:t>
      </w:r>
      <w:r w:rsidRPr="00F0673F">
        <w:rPr>
          <w:sz w:val="20"/>
          <w:szCs w:val="20"/>
        </w:rPr>
        <w:t>ay 12, 2016.</w:t>
      </w:r>
    </w:p>
  </w:endnote>
  <w:endnote w:id="23">
    <w:p w14:paraId="2C84DF3C" w14:textId="57794B96"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Corte Constitutional [C.C.] [Constitutional Court], </w:t>
      </w:r>
      <w:proofErr w:type="spellStart"/>
      <w:r w:rsidRPr="00F0673F">
        <w:rPr>
          <w:sz w:val="20"/>
          <w:szCs w:val="20"/>
        </w:rPr>
        <w:t>febrero</w:t>
      </w:r>
      <w:proofErr w:type="spellEnd"/>
      <w:r w:rsidRPr="00F0673F">
        <w:rPr>
          <w:sz w:val="20"/>
          <w:szCs w:val="20"/>
        </w:rPr>
        <w:t xml:space="preserve"> 9 de 2012, </w:t>
      </w:r>
      <w:proofErr w:type="spellStart"/>
      <w:r w:rsidRPr="00F0673F">
        <w:rPr>
          <w:sz w:val="20"/>
          <w:szCs w:val="20"/>
        </w:rPr>
        <w:t>Sentencia</w:t>
      </w:r>
      <w:proofErr w:type="spellEnd"/>
      <w:r w:rsidRPr="00F0673F">
        <w:rPr>
          <w:sz w:val="20"/>
          <w:szCs w:val="20"/>
        </w:rPr>
        <w:t xml:space="preserve"> </w:t>
      </w:r>
      <w:r w:rsidRPr="00F0673F">
        <w:rPr>
          <w:rFonts w:eastAsia="Times"/>
          <w:sz w:val="20"/>
          <w:szCs w:val="20"/>
        </w:rPr>
        <w:t>T-063/2012 (Colom.)</w:t>
      </w:r>
      <w:r>
        <w:rPr>
          <w:rFonts w:eastAsia="Times"/>
          <w:sz w:val="20"/>
          <w:szCs w:val="20"/>
        </w:rPr>
        <w:t>.</w:t>
      </w:r>
    </w:p>
  </w:endnote>
  <w:endnote w:id="24">
    <w:p w14:paraId="0B5F5956" w14:textId="63559CC5"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Corte Constitutional [C.C.] [Constitutional Court], </w:t>
      </w:r>
      <w:proofErr w:type="spellStart"/>
      <w:r w:rsidRPr="00F0673F">
        <w:rPr>
          <w:sz w:val="20"/>
          <w:szCs w:val="20"/>
        </w:rPr>
        <w:t>junio</w:t>
      </w:r>
      <w:proofErr w:type="spellEnd"/>
      <w:r w:rsidRPr="00F0673F">
        <w:rPr>
          <w:sz w:val="20"/>
          <w:szCs w:val="20"/>
        </w:rPr>
        <w:t xml:space="preserve"> 15 de 2016</w:t>
      </w:r>
      <w:proofErr w:type="gramStart"/>
      <w:r w:rsidRPr="00F0673F">
        <w:rPr>
          <w:sz w:val="20"/>
          <w:szCs w:val="20"/>
        </w:rPr>
        <w:t>,Sentencia</w:t>
      </w:r>
      <w:proofErr w:type="gramEnd"/>
      <w:r w:rsidRPr="00F0673F">
        <w:rPr>
          <w:sz w:val="20"/>
          <w:szCs w:val="20"/>
        </w:rPr>
        <w:t xml:space="preserve"> </w:t>
      </w:r>
      <w:r w:rsidRPr="00F0673F">
        <w:rPr>
          <w:rFonts w:eastAsia="Times"/>
          <w:sz w:val="20"/>
          <w:szCs w:val="20"/>
        </w:rPr>
        <w:t>T-303/16 (Colom.)</w:t>
      </w:r>
      <w:r>
        <w:rPr>
          <w:rFonts w:eastAsia="Times"/>
          <w:sz w:val="20"/>
          <w:szCs w:val="20"/>
        </w:rPr>
        <w:t>.</w:t>
      </w:r>
    </w:p>
  </w:endnote>
  <w:endnote w:id="25">
    <w:p w14:paraId="684DEA6F" w14:textId="77777777" w:rsidR="00C937A5" w:rsidRPr="00F0673F" w:rsidRDefault="00C937A5" w:rsidP="00255789">
      <w:pPr>
        <w:rPr>
          <w:sz w:val="20"/>
          <w:szCs w:val="20"/>
        </w:rPr>
      </w:pPr>
      <w:r w:rsidRPr="00F0673F">
        <w:rPr>
          <w:rStyle w:val="FootnoteCharacters"/>
          <w:sz w:val="20"/>
          <w:szCs w:val="20"/>
        </w:rPr>
        <w:endnoteRef/>
      </w:r>
      <w:r w:rsidRPr="00F0673F">
        <w:rPr>
          <w:sz w:val="20"/>
          <w:szCs w:val="20"/>
        </w:rPr>
        <w:t xml:space="preserve"> Open Society Foundations, </w:t>
      </w:r>
      <w:r w:rsidRPr="00F0673F">
        <w:rPr>
          <w:i/>
          <w:sz w:val="20"/>
          <w:szCs w:val="20"/>
        </w:rPr>
        <w:t>Against Her Will: Forced and Coerced Sterilization of Women Worldwide</w:t>
      </w:r>
      <w:r w:rsidRPr="00F0673F">
        <w:rPr>
          <w:sz w:val="20"/>
          <w:szCs w:val="20"/>
        </w:rPr>
        <w:t xml:space="preserve"> 2 (2011) [hereinafter </w:t>
      </w:r>
      <w:r w:rsidRPr="00F0673F">
        <w:rPr>
          <w:i/>
          <w:sz w:val="20"/>
          <w:szCs w:val="20"/>
        </w:rPr>
        <w:t>Against Her Will</w:t>
      </w:r>
      <w:r w:rsidRPr="00F0673F">
        <w:rPr>
          <w:sz w:val="20"/>
          <w:szCs w:val="20"/>
        </w:rPr>
        <w:t>].</w:t>
      </w:r>
    </w:p>
  </w:endnote>
  <w:endnote w:id="26">
    <w:p w14:paraId="10278390" w14:textId="77777777" w:rsidR="00C937A5" w:rsidRPr="00F0673F" w:rsidRDefault="00C937A5" w:rsidP="00255789">
      <w:pPr>
        <w:rPr>
          <w:sz w:val="20"/>
          <w:szCs w:val="20"/>
        </w:rPr>
      </w:pPr>
      <w:r w:rsidRPr="00F0673F">
        <w:rPr>
          <w:rStyle w:val="FootnoteCharacters"/>
          <w:sz w:val="20"/>
          <w:szCs w:val="20"/>
        </w:rPr>
        <w:endnoteRef/>
      </w:r>
      <w:r w:rsidRPr="00F0673F">
        <w:rPr>
          <w:sz w:val="20"/>
          <w:szCs w:val="20"/>
        </w:rPr>
        <w:t xml:space="preserve"> Int’l </w:t>
      </w:r>
      <w:proofErr w:type="spellStart"/>
      <w:r w:rsidRPr="00F0673F">
        <w:rPr>
          <w:sz w:val="20"/>
          <w:szCs w:val="20"/>
        </w:rPr>
        <w:t>Fed’n</w:t>
      </w:r>
      <w:proofErr w:type="spellEnd"/>
      <w:r w:rsidRPr="00F0673F">
        <w:rPr>
          <w:sz w:val="20"/>
          <w:szCs w:val="20"/>
        </w:rPr>
        <w:t xml:space="preserve"> of Gynecology and Obstetrics (FIGO), </w:t>
      </w:r>
      <w:r w:rsidRPr="00F0673F">
        <w:rPr>
          <w:i/>
          <w:sz w:val="20"/>
          <w:szCs w:val="20"/>
        </w:rPr>
        <w:t>Female Contraceptive Sterilization</w:t>
      </w:r>
      <w:r w:rsidRPr="00F0673F">
        <w:rPr>
          <w:sz w:val="20"/>
          <w:szCs w:val="20"/>
        </w:rPr>
        <w:t xml:space="preserve">, 115 </w:t>
      </w:r>
      <w:r w:rsidRPr="00F0673F">
        <w:rPr>
          <w:smallCaps/>
          <w:kern w:val="20"/>
          <w:sz w:val="20"/>
          <w:szCs w:val="20"/>
        </w:rPr>
        <w:t>Int'l J. of Gynecology and Obstetrics</w:t>
      </w:r>
      <w:r w:rsidRPr="00F0673F">
        <w:rPr>
          <w:sz w:val="20"/>
          <w:szCs w:val="20"/>
        </w:rPr>
        <w:t xml:space="preserve"> 88, 88-89 (2011).</w:t>
      </w:r>
    </w:p>
  </w:endnote>
  <w:endnote w:id="27">
    <w:p w14:paraId="56EED99E" w14:textId="5DDE19D6" w:rsidR="00C937A5" w:rsidRPr="00F0673F" w:rsidRDefault="00C937A5" w:rsidP="00255789">
      <w:pPr>
        <w:pStyle w:val="NormalWeb"/>
        <w:spacing w:after="0"/>
        <w:rPr>
          <w:kern w:val="0"/>
          <w:sz w:val="20"/>
          <w:szCs w:val="20"/>
          <w:lang w:eastAsia="en-US"/>
        </w:rPr>
      </w:pPr>
      <w:r w:rsidRPr="00F0673F">
        <w:rPr>
          <w:rStyle w:val="FootnoteCharacters"/>
          <w:sz w:val="20"/>
          <w:szCs w:val="20"/>
        </w:rPr>
        <w:endnoteRef/>
      </w:r>
      <w:r w:rsidRPr="00F0673F">
        <w:rPr>
          <w:sz w:val="20"/>
          <w:szCs w:val="20"/>
        </w:rPr>
        <w:t xml:space="preserve"> </w:t>
      </w:r>
      <w:r>
        <w:rPr>
          <w:i/>
          <w:kern w:val="0"/>
          <w:sz w:val="20"/>
          <w:szCs w:val="20"/>
          <w:lang w:eastAsia="en-US"/>
        </w:rPr>
        <w:t>Id.</w:t>
      </w:r>
      <w:r w:rsidRPr="00F0673F">
        <w:rPr>
          <w:kern w:val="0"/>
          <w:sz w:val="20"/>
          <w:szCs w:val="20"/>
          <w:lang w:eastAsia="en-US"/>
        </w:rPr>
        <w:t>, at 88.</w:t>
      </w:r>
    </w:p>
  </w:endnote>
  <w:endnote w:id="28">
    <w:p w14:paraId="241F65FB" w14:textId="77777777"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Pr="00F0673F">
        <w:rPr>
          <w:i/>
          <w:sz w:val="20"/>
          <w:szCs w:val="20"/>
        </w:rPr>
        <w:t>Id.</w:t>
      </w:r>
    </w:p>
  </w:endnote>
  <w:endnote w:id="29">
    <w:p w14:paraId="63981105" w14:textId="582D2638" w:rsidR="00C937A5" w:rsidRPr="00F0673F" w:rsidRDefault="00C937A5" w:rsidP="00255789">
      <w:pPr>
        <w:rPr>
          <w:sz w:val="20"/>
          <w:szCs w:val="20"/>
        </w:rPr>
      </w:pPr>
      <w:r w:rsidRPr="00F0673F">
        <w:rPr>
          <w:rStyle w:val="FootnoteCharacters"/>
          <w:sz w:val="20"/>
          <w:szCs w:val="20"/>
        </w:rPr>
        <w:endnoteRef/>
      </w:r>
      <w:r w:rsidRPr="00F0673F">
        <w:rPr>
          <w:sz w:val="20"/>
          <w:szCs w:val="20"/>
        </w:rPr>
        <w:t xml:space="preserve"> </w:t>
      </w:r>
      <w:r w:rsidRPr="00F0673F">
        <w:rPr>
          <w:i/>
          <w:sz w:val="20"/>
          <w:szCs w:val="20"/>
        </w:rPr>
        <w:t>Against Her Will</w:t>
      </w:r>
      <w:r w:rsidRPr="00F0673F">
        <w:rPr>
          <w:sz w:val="20"/>
          <w:szCs w:val="20"/>
        </w:rPr>
        <w:t xml:space="preserve">, </w:t>
      </w:r>
      <w:r w:rsidRPr="00F0673F">
        <w:rPr>
          <w:i/>
          <w:sz w:val="20"/>
          <w:szCs w:val="20"/>
        </w:rPr>
        <w:t>supra</w:t>
      </w:r>
      <w:r w:rsidRPr="00F0673F">
        <w:rPr>
          <w:sz w:val="20"/>
          <w:szCs w:val="20"/>
        </w:rPr>
        <w:t xml:space="preserve"> note 25, at 2.  </w:t>
      </w:r>
    </w:p>
  </w:endnote>
  <w:endnote w:id="30">
    <w:p w14:paraId="649C8140" w14:textId="1D0DD33D"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w:t>
      </w:r>
      <w:r w:rsidRPr="00F0673F">
        <w:rPr>
          <w:i/>
          <w:sz w:val="20"/>
          <w:szCs w:val="20"/>
        </w:rPr>
        <w:t xml:space="preserve"> General Comment No. 22: the right to sexual and reproductive health</w:t>
      </w:r>
      <w:r w:rsidRPr="00F0673F">
        <w:rPr>
          <w:sz w:val="20"/>
          <w:szCs w:val="20"/>
        </w:rPr>
        <w:t>, ¶ 1, U.N. Doc. E/C.12/GC/22 (2016).</w:t>
      </w:r>
    </w:p>
  </w:endnote>
  <w:endnote w:id="31">
    <w:p w14:paraId="28FA7729" w14:textId="77C2CA95"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Pr>
          <w:i/>
          <w:sz w:val="20"/>
          <w:szCs w:val="20"/>
        </w:rPr>
        <w:t>Id.</w:t>
      </w:r>
      <w:r w:rsidRPr="00F0673F">
        <w:rPr>
          <w:sz w:val="20"/>
          <w:szCs w:val="20"/>
        </w:rPr>
        <w:t>, ¶¶ 41, 57.</w:t>
      </w:r>
    </w:p>
  </w:endnote>
  <w:endnote w:id="32">
    <w:p w14:paraId="08E81EEB" w14:textId="4BA693A3" w:rsidR="00C937A5" w:rsidRPr="00F0673F" w:rsidRDefault="00C937A5" w:rsidP="00255789">
      <w:pPr>
        <w:rPr>
          <w:sz w:val="20"/>
          <w:szCs w:val="20"/>
        </w:rPr>
      </w:pPr>
      <w:r w:rsidRPr="00F0673F">
        <w:rPr>
          <w:rStyle w:val="EndnoteReference"/>
          <w:sz w:val="20"/>
          <w:szCs w:val="20"/>
        </w:rPr>
        <w:endnoteRef/>
      </w:r>
      <w:r w:rsidRPr="00F0673F">
        <w:rPr>
          <w:sz w:val="20"/>
          <w:szCs w:val="20"/>
        </w:rPr>
        <w:t xml:space="preserve"> </w:t>
      </w:r>
      <w:r>
        <w:rPr>
          <w:i/>
          <w:sz w:val="20"/>
          <w:szCs w:val="20"/>
        </w:rPr>
        <w:t>Id.</w:t>
      </w:r>
      <w:r w:rsidRPr="00F0673F">
        <w:rPr>
          <w:sz w:val="20"/>
          <w:szCs w:val="20"/>
        </w:rPr>
        <w:t xml:space="preserve">, ¶ 57; </w:t>
      </w:r>
      <w:r>
        <w:rPr>
          <w:sz w:val="20"/>
          <w:szCs w:val="20"/>
        </w:rPr>
        <w:t>Committee on the Rights of the Child (</w:t>
      </w:r>
      <w:r w:rsidRPr="00F0673F">
        <w:rPr>
          <w:sz w:val="20"/>
          <w:szCs w:val="20"/>
          <w:shd w:val="clear" w:color="auto" w:fill="FFFFFF"/>
        </w:rPr>
        <w:t>CRC Committee</w:t>
      </w:r>
      <w:r>
        <w:rPr>
          <w:sz w:val="20"/>
          <w:szCs w:val="20"/>
          <w:shd w:val="clear" w:color="auto" w:fill="FFFFFF"/>
        </w:rPr>
        <w:t>)</w:t>
      </w:r>
      <w:r w:rsidRPr="00F0673F">
        <w:rPr>
          <w:i/>
          <w:iCs/>
          <w:sz w:val="20"/>
          <w:szCs w:val="20"/>
          <w:shd w:val="clear" w:color="auto" w:fill="FFFFFF"/>
        </w:rPr>
        <w:t xml:space="preserve">, General Comment No. 9: The rights of children with disabilities, </w:t>
      </w:r>
      <w:r>
        <w:rPr>
          <w:sz w:val="20"/>
          <w:szCs w:val="20"/>
          <w:shd w:val="clear" w:color="auto" w:fill="FFFFFF"/>
        </w:rPr>
        <w:t>¶</w:t>
      </w:r>
      <w:r w:rsidRPr="00F0673F">
        <w:rPr>
          <w:sz w:val="20"/>
          <w:szCs w:val="20"/>
          <w:shd w:val="clear" w:color="auto" w:fill="FFFFFF"/>
        </w:rPr>
        <w:t xml:space="preserve"> 60, U.N. Doc. CRC/C/GC/9 (43rd Sess., 2007); </w:t>
      </w:r>
      <w:r>
        <w:rPr>
          <w:sz w:val="20"/>
          <w:szCs w:val="20"/>
          <w:shd w:val="clear" w:color="auto" w:fill="FFFFFF"/>
        </w:rPr>
        <w:t>Committee on the Elimination of Discrimination against Women (</w:t>
      </w:r>
      <w:r w:rsidRPr="00F0673F">
        <w:rPr>
          <w:sz w:val="20"/>
          <w:szCs w:val="20"/>
        </w:rPr>
        <w:t>CEDAW Committee</w:t>
      </w:r>
      <w:r>
        <w:rPr>
          <w:sz w:val="20"/>
          <w:szCs w:val="20"/>
        </w:rPr>
        <w:t>)</w:t>
      </w:r>
      <w:r w:rsidRPr="00F0673F">
        <w:rPr>
          <w:sz w:val="20"/>
          <w:szCs w:val="20"/>
        </w:rPr>
        <w:t xml:space="preserve">, </w:t>
      </w:r>
      <w:r w:rsidRPr="003B6565">
        <w:rPr>
          <w:i/>
          <w:sz w:val="20"/>
          <w:szCs w:val="20"/>
        </w:rPr>
        <w:t>General Recommendation No. 24: Article 12 of the Convention (women and health)</w:t>
      </w:r>
      <w:r w:rsidRPr="003B6565">
        <w:rPr>
          <w:sz w:val="20"/>
          <w:szCs w:val="20"/>
        </w:rPr>
        <w:t>,</w:t>
      </w:r>
      <w:r w:rsidRPr="003B6565">
        <w:rPr>
          <w:i/>
          <w:sz w:val="20"/>
          <w:szCs w:val="20"/>
        </w:rPr>
        <w:t xml:space="preserve"> </w:t>
      </w:r>
      <w:r w:rsidRPr="003B6565">
        <w:rPr>
          <w:sz w:val="20"/>
          <w:szCs w:val="20"/>
        </w:rPr>
        <w:t>¶ 22, U.N. Doc. CEDAW/C/GC/24 (1999)</w:t>
      </w:r>
      <w:r w:rsidRPr="00F0673F">
        <w:rPr>
          <w:sz w:val="20"/>
          <w:szCs w:val="20"/>
        </w:rPr>
        <w:t xml:space="preserve">; </w:t>
      </w:r>
      <w:r w:rsidRPr="00F0673F">
        <w:rPr>
          <w:sz w:val="20"/>
          <w:szCs w:val="20"/>
          <w:shd w:val="clear" w:color="auto" w:fill="FFFFFF"/>
        </w:rPr>
        <w:t>Committee Against Torture, </w:t>
      </w:r>
      <w:r w:rsidRPr="00F0673F">
        <w:rPr>
          <w:i/>
          <w:iCs/>
          <w:sz w:val="20"/>
          <w:szCs w:val="20"/>
          <w:shd w:val="clear" w:color="auto" w:fill="FFFFFF"/>
        </w:rPr>
        <w:t>Concluding Observations</w:t>
      </w:r>
      <w:r w:rsidRPr="00F0673F">
        <w:rPr>
          <w:sz w:val="20"/>
          <w:szCs w:val="20"/>
          <w:shd w:val="clear" w:color="auto" w:fill="FFFFFF"/>
        </w:rPr>
        <w:t xml:space="preserve">: </w:t>
      </w:r>
      <w:r w:rsidRPr="00F0673F">
        <w:rPr>
          <w:i/>
          <w:sz w:val="20"/>
          <w:szCs w:val="20"/>
          <w:shd w:val="clear" w:color="auto" w:fill="FFFFFF"/>
        </w:rPr>
        <w:t>Slovakia</w:t>
      </w:r>
      <w:r w:rsidRPr="00F0673F">
        <w:rPr>
          <w:sz w:val="20"/>
          <w:szCs w:val="20"/>
          <w:shd w:val="clear" w:color="auto" w:fill="FFFFFF"/>
        </w:rPr>
        <w:t xml:space="preserve">, </w:t>
      </w:r>
      <w:r>
        <w:rPr>
          <w:sz w:val="20"/>
          <w:szCs w:val="20"/>
          <w:shd w:val="clear" w:color="auto" w:fill="FFFFFF"/>
        </w:rPr>
        <w:t>¶</w:t>
      </w:r>
      <w:r w:rsidRPr="00F0673F">
        <w:rPr>
          <w:sz w:val="20"/>
          <w:szCs w:val="20"/>
          <w:shd w:val="clear" w:color="auto" w:fill="FFFFFF"/>
        </w:rPr>
        <w:t xml:space="preserve"> 14, U.N. Doc. CAT/C/SVK/CO/2 (2009); </w:t>
      </w:r>
      <w:r w:rsidRPr="00F0673F">
        <w:rPr>
          <w:i/>
          <w:sz w:val="20"/>
          <w:szCs w:val="20"/>
          <w:shd w:val="clear" w:color="auto" w:fill="FFFFFF"/>
        </w:rPr>
        <w:t>A.S. v. Hungary</w:t>
      </w:r>
      <w:r w:rsidRPr="00F0673F">
        <w:rPr>
          <w:sz w:val="20"/>
          <w:szCs w:val="20"/>
          <w:shd w:val="clear" w:color="auto" w:fill="FFFFFF"/>
        </w:rPr>
        <w:t>, CEDAW Comm. No. 4/2004, U.N. Doc. A/61/38, pp. 366-379 (2006).</w:t>
      </w:r>
    </w:p>
  </w:endnote>
  <w:endnote w:id="33">
    <w:p w14:paraId="4BF6E5C0" w14:textId="3D487AC8" w:rsidR="00C937A5" w:rsidRPr="00F0673F" w:rsidRDefault="00C937A5" w:rsidP="00255789">
      <w:pPr>
        <w:widowControl w:val="0"/>
        <w:autoSpaceDE w:val="0"/>
        <w:autoSpaceDN w:val="0"/>
        <w:adjustRightInd w:val="0"/>
        <w:rPr>
          <w:sz w:val="20"/>
          <w:szCs w:val="20"/>
        </w:rPr>
      </w:pPr>
      <w:r w:rsidRPr="00F0673F">
        <w:rPr>
          <w:rStyle w:val="EndnoteReference"/>
          <w:sz w:val="20"/>
          <w:szCs w:val="20"/>
        </w:rPr>
        <w:endnoteRef/>
      </w:r>
      <w:r w:rsidRPr="00F0673F">
        <w:rPr>
          <w:sz w:val="20"/>
          <w:szCs w:val="20"/>
        </w:rPr>
        <w:t xml:space="preserve"> </w:t>
      </w:r>
      <w:r w:rsidRPr="00F0673F">
        <w:rPr>
          <w:sz w:val="20"/>
          <w:szCs w:val="20"/>
          <w:shd w:val="clear" w:color="auto" w:fill="FFFFFF"/>
        </w:rPr>
        <w:t>CRC Committee, </w:t>
      </w:r>
      <w:r w:rsidRPr="00F0673F">
        <w:rPr>
          <w:i/>
          <w:iCs/>
          <w:sz w:val="20"/>
          <w:szCs w:val="20"/>
          <w:shd w:val="clear" w:color="auto" w:fill="FFFFFF"/>
        </w:rPr>
        <w:t>General Comment No. 13: The right of the child to freedom from all forms of violence,</w:t>
      </w:r>
      <w:r w:rsidRPr="00F0673F">
        <w:rPr>
          <w:sz w:val="20"/>
          <w:szCs w:val="20"/>
          <w:shd w:val="clear" w:color="auto" w:fill="FFFFFF"/>
        </w:rPr>
        <w:t xml:space="preserve"> </w:t>
      </w:r>
      <w:r>
        <w:rPr>
          <w:sz w:val="20"/>
          <w:szCs w:val="20"/>
          <w:shd w:val="clear" w:color="auto" w:fill="FFFFFF"/>
        </w:rPr>
        <w:t>¶¶</w:t>
      </w:r>
      <w:r w:rsidRPr="00F0673F">
        <w:rPr>
          <w:sz w:val="20"/>
          <w:szCs w:val="20"/>
          <w:shd w:val="clear" w:color="auto" w:fill="FFFFFF"/>
        </w:rPr>
        <w:t xml:space="preserve"> 16, 21, U.N. Doc. CRC/C/GC/13 (2011); </w:t>
      </w:r>
      <w:r w:rsidRPr="00867EE0">
        <w:rPr>
          <w:sz w:val="20"/>
          <w:szCs w:val="20"/>
        </w:rPr>
        <w:t xml:space="preserve">Special Rapporteur on violence against women, its causes and consequences, </w:t>
      </w:r>
      <w:r w:rsidRPr="00867EE0">
        <w:rPr>
          <w:i/>
          <w:sz w:val="20"/>
          <w:szCs w:val="20"/>
        </w:rPr>
        <w:t>Rep. of the Special Rapporteur on violence against women, its causes and consequences: violence against women with disabilities</w:t>
      </w:r>
      <w:r w:rsidRPr="00867EE0">
        <w:rPr>
          <w:sz w:val="20"/>
          <w:szCs w:val="20"/>
        </w:rPr>
        <w:t xml:space="preserve">, </w:t>
      </w:r>
      <w:r>
        <w:rPr>
          <w:sz w:val="20"/>
          <w:szCs w:val="20"/>
        </w:rPr>
        <w:t>¶</w:t>
      </w:r>
      <w:r w:rsidRPr="00867EE0">
        <w:rPr>
          <w:sz w:val="20"/>
          <w:szCs w:val="20"/>
        </w:rPr>
        <w:t xml:space="preserve"> </w:t>
      </w:r>
      <w:r>
        <w:rPr>
          <w:sz w:val="20"/>
          <w:szCs w:val="20"/>
        </w:rPr>
        <w:t>28</w:t>
      </w:r>
      <w:r w:rsidRPr="00867EE0">
        <w:rPr>
          <w:sz w:val="20"/>
          <w:szCs w:val="20"/>
        </w:rPr>
        <w:t xml:space="preserve">, U.N. Doc. A/67/227 (Aug. 3, 2012) (by Rashida </w:t>
      </w:r>
      <w:proofErr w:type="spellStart"/>
      <w:r w:rsidRPr="00867EE0">
        <w:rPr>
          <w:sz w:val="20"/>
          <w:szCs w:val="20"/>
        </w:rPr>
        <w:t>Manjoo</w:t>
      </w:r>
      <w:proofErr w:type="spellEnd"/>
      <w:r w:rsidRPr="00867EE0">
        <w:rPr>
          <w:sz w:val="20"/>
          <w:szCs w:val="20"/>
        </w:rPr>
        <w:t>)</w:t>
      </w:r>
      <w:r w:rsidRPr="00F0673F">
        <w:rPr>
          <w:sz w:val="20"/>
          <w:szCs w:val="20"/>
        </w:rPr>
        <w:t>.</w:t>
      </w:r>
    </w:p>
  </w:endnote>
  <w:endnote w:id="34">
    <w:p w14:paraId="59D8E26C" w14:textId="58A9A8F2" w:rsidR="00C937A5" w:rsidRPr="00F0673F" w:rsidRDefault="00C937A5" w:rsidP="00255789">
      <w:pPr>
        <w:widowControl w:val="0"/>
        <w:autoSpaceDE w:val="0"/>
        <w:autoSpaceDN w:val="0"/>
        <w:adjustRightInd w:val="0"/>
        <w:rPr>
          <w:sz w:val="20"/>
          <w:szCs w:val="20"/>
        </w:rPr>
      </w:pPr>
      <w:r w:rsidRPr="00F0673F">
        <w:rPr>
          <w:rStyle w:val="EndnoteReference"/>
          <w:sz w:val="20"/>
          <w:szCs w:val="20"/>
        </w:rPr>
        <w:endnoteRef/>
      </w:r>
      <w:r w:rsidRPr="00F0673F">
        <w:rPr>
          <w:sz w:val="20"/>
          <w:szCs w:val="20"/>
        </w:rPr>
        <w:t xml:space="preserve"> CRC Committee, </w:t>
      </w:r>
      <w:r w:rsidRPr="00867EE0">
        <w:rPr>
          <w:i/>
          <w:sz w:val="20"/>
          <w:szCs w:val="20"/>
        </w:rPr>
        <w:t>General Comment No. 20: The Implementation of the Rights of the Child during Adolescence</w:t>
      </w:r>
      <w:r w:rsidRPr="00867EE0">
        <w:rPr>
          <w:sz w:val="20"/>
          <w:szCs w:val="20"/>
        </w:rPr>
        <w:t xml:space="preserve">, </w:t>
      </w:r>
      <w:r>
        <w:rPr>
          <w:sz w:val="20"/>
          <w:szCs w:val="20"/>
        </w:rPr>
        <w:t>¶</w:t>
      </w:r>
      <w:r w:rsidRPr="00F0673F">
        <w:rPr>
          <w:sz w:val="20"/>
          <w:szCs w:val="20"/>
        </w:rPr>
        <w:t xml:space="preserve"> 31, U.N. Doc. CRC/C/GC/20 (2016);</w:t>
      </w:r>
      <w:r w:rsidRPr="00F0673F">
        <w:rPr>
          <w:i/>
          <w:sz w:val="20"/>
          <w:szCs w:val="20"/>
        </w:rPr>
        <w:t xml:space="preserve"> </w:t>
      </w:r>
      <w:r w:rsidRPr="003B6565">
        <w:rPr>
          <w:rFonts w:eastAsia="Cambria"/>
          <w:kern w:val="1"/>
          <w:sz w:val="20"/>
          <w:szCs w:val="20"/>
          <w:lang w:eastAsia="ar-SA"/>
        </w:rPr>
        <w:t xml:space="preserve">Juan E. Méndez, </w:t>
      </w:r>
      <w:r w:rsidRPr="003B6565">
        <w:rPr>
          <w:rFonts w:eastAsia="Cambria"/>
          <w:sz w:val="20"/>
          <w:szCs w:val="20"/>
        </w:rPr>
        <w:t xml:space="preserve">Special Rapporteur on Torture and Other Cruel, Inhuman, or Degrading Treatment or Punishment, </w:t>
      </w:r>
      <w:r w:rsidRPr="003B6565">
        <w:rPr>
          <w:rFonts w:eastAsia="Cambria"/>
          <w:i/>
          <w:iCs/>
          <w:sz w:val="20"/>
          <w:szCs w:val="20"/>
        </w:rPr>
        <w:t>Special Rapporteur on Torture and Other Cruel, Inhuman, or Degrading Treatment or Punishment, Report to the Human Rights Council</w:t>
      </w:r>
      <w:r w:rsidRPr="003B6565">
        <w:rPr>
          <w:rFonts w:eastAsia="Cambria"/>
          <w:sz w:val="20"/>
          <w:szCs w:val="20"/>
        </w:rPr>
        <w:t>, ¶¶ 48, 88, U.N. Doc. A/HRC/22/53 (Feb. 1, 2013)</w:t>
      </w:r>
      <w:r w:rsidRPr="003B6565">
        <w:rPr>
          <w:sz w:val="20"/>
          <w:szCs w:val="20"/>
        </w:rPr>
        <w:t>.</w:t>
      </w:r>
    </w:p>
  </w:endnote>
  <w:endnote w:id="35">
    <w:p w14:paraId="1BDD89D0" w14:textId="573D01A7" w:rsidR="00C937A5" w:rsidRPr="00F0673F" w:rsidRDefault="00C937A5" w:rsidP="00255789">
      <w:pPr>
        <w:pStyle w:val="EndnoteText"/>
        <w:jc w:val="left"/>
        <w:rPr>
          <w:b/>
          <w:i/>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w:t>
      </w:r>
      <w:r>
        <w:rPr>
          <w:i/>
          <w:sz w:val="20"/>
          <w:szCs w:val="20"/>
        </w:rPr>
        <w:t xml:space="preserve"> to</w:t>
      </w:r>
      <w:r w:rsidRPr="00F0673F">
        <w:rPr>
          <w:i/>
          <w:sz w:val="20"/>
          <w:szCs w:val="20"/>
        </w:rPr>
        <w:t>: United Arab Emirates</w:t>
      </w:r>
      <w:r w:rsidRPr="00F0673F">
        <w:rPr>
          <w:sz w:val="20"/>
          <w:szCs w:val="20"/>
        </w:rPr>
        <w:t xml:space="preserve">, ¶ 33, U.N. Doc. CRPD/C/ARE/CO/1 (2016); </w:t>
      </w:r>
      <w:r w:rsidRPr="00F0673F">
        <w:rPr>
          <w:i/>
          <w:sz w:val="20"/>
          <w:szCs w:val="20"/>
        </w:rPr>
        <w:t>Italy</w:t>
      </w:r>
      <w:r w:rsidRPr="00F0673F">
        <w:rPr>
          <w:sz w:val="20"/>
          <w:szCs w:val="20"/>
        </w:rPr>
        <w:t xml:space="preserve">, ¶ 63, U.N. Doc. CRPD/C/ITA/CO/1 (2016); </w:t>
      </w:r>
      <w:r w:rsidRPr="00F0673F">
        <w:rPr>
          <w:i/>
          <w:sz w:val="20"/>
          <w:szCs w:val="20"/>
        </w:rPr>
        <w:t>Colombia</w:t>
      </w:r>
      <w:r w:rsidRPr="00F0673F">
        <w:rPr>
          <w:sz w:val="20"/>
          <w:szCs w:val="20"/>
        </w:rPr>
        <w:t xml:space="preserve">, ¶¶ 6 &amp; 46, U.N. Doc. CRPD/C/COL/CO/1 (2016); </w:t>
      </w:r>
      <w:r w:rsidRPr="00F0673F">
        <w:rPr>
          <w:i/>
          <w:sz w:val="20"/>
          <w:szCs w:val="20"/>
        </w:rPr>
        <w:t>Thailand</w:t>
      </w:r>
      <w:r w:rsidRPr="00F0673F">
        <w:rPr>
          <w:sz w:val="20"/>
          <w:szCs w:val="20"/>
        </w:rPr>
        <w:t xml:space="preserve">, ¶ 35, U.N. Doc. CRPD/C/THA/CO/1 (2016); </w:t>
      </w:r>
      <w:r w:rsidRPr="00F0673F">
        <w:rPr>
          <w:i/>
          <w:sz w:val="20"/>
          <w:szCs w:val="20"/>
        </w:rPr>
        <w:t>Slovakia</w:t>
      </w:r>
      <w:r w:rsidRPr="00F0673F">
        <w:rPr>
          <w:sz w:val="20"/>
          <w:szCs w:val="20"/>
        </w:rPr>
        <w:t xml:space="preserve">, ¶ 51, U.N. Doc. CRPD/C/SVK/CO/1 (2016); </w:t>
      </w:r>
      <w:r w:rsidRPr="00F0673F">
        <w:rPr>
          <w:i/>
          <w:sz w:val="20"/>
          <w:szCs w:val="20"/>
        </w:rPr>
        <w:t>Serbia</w:t>
      </w:r>
      <w:r w:rsidRPr="00F0673F">
        <w:rPr>
          <w:sz w:val="20"/>
          <w:szCs w:val="20"/>
        </w:rPr>
        <w:t xml:space="preserve">, ¶ 33, U.N. Doc. CRPD/C/SRB/CO/1 (2016); </w:t>
      </w:r>
      <w:r w:rsidRPr="00F0673F">
        <w:rPr>
          <w:i/>
          <w:sz w:val="20"/>
          <w:szCs w:val="20"/>
        </w:rPr>
        <w:t>Portugal</w:t>
      </w:r>
      <w:r w:rsidRPr="00F0673F">
        <w:rPr>
          <w:sz w:val="20"/>
          <w:szCs w:val="20"/>
        </w:rPr>
        <w:t xml:space="preserve">, ¶ 36, U.N. Doc. CRPD/C/PRT/CO/1 (2016); </w:t>
      </w:r>
      <w:r w:rsidRPr="00F0673F">
        <w:rPr>
          <w:i/>
          <w:sz w:val="20"/>
          <w:szCs w:val="20"/>
        </w:rPr>
        <w:t>Turkmenistan</w:t>
      </w:r>
      <w:r w:rsidRPr="00F0673F">
        <w:rPr>
          <w:sz w:val="20"/>
          <w:szCs w:val="20"/>
        </w:rPr>
        <w:t>, ¶ 31, U.N. Doc. CRPD/C/TKM/CO/1 (2015);</w:t>
      </w:r>
      <w:r w:rsidRPr="00F0673F">
        <w:rPr>
          <w:i/>
          <w:sz w:val="20"/>
          <w:szCs w:val="20"/>
        </w:rPr>
        <w:t xml:space="preserve"> Mongolia</w:t>
      </w:r>
      <w:r w:rsidRPr="00F0673F">
        <w:rPr>
          <w:sz w:val="20"/>
          <w:szCs w:val="20"/>
        </w:rPr>
        <w:t>, ¶ 28, U.N. Doc. CRPD/C/MNG/CO/1 (2015);</w:t>
      </w:r>
      <w:r w:rsidRPr="00F0673F">
        <w:rPr>
          <w:i/>
          <w:sz w:val="20"/>
          <w:szCs w:val="20"/>
        </w:rPr>
        <w:t xml:space="preserve"> Chile</w:t>
      </w:r>
      <w:r w:rsidRPr="00F0673F">
        <w:rPr>
          <w:sz w:val="20"/>
          <w:szCs w:val="20"/>
        </w:rPr>
        <w:t xml:space="preserve">, ¶ 41, U.N. Doc. CRPD/C/CHL/CO/1 (2016); </w:t>
      </w:r>
      <w:r w:rsidRPr="00F0673F">
        <w:rPr>
          <w:i/>
          <w:sz w:val="20"/>
          <w:szCs w:val="20"/>
        </w:rPr>
        <w:t>Costa Rica</w:t>
      </w:r>
      <w:r w:rsidRPr="00F0673F">
        <w:rPr>
          <w:sz w:val="20"/>
          <w:szCs w:val="20"/>
        </w:rPr>
        <w:t xml:space="preserve">, ¶ 37, U.N. Doc. CRPD/C/CRI/CO/1 (2014); </w:t>
      </w:r>
      <w:r w:rsidRPr="00F0673F">
        <w:rPr>
          <w:i/>
          <w:sz w:val="20"/>
          <w:szCs w:val="20"/>
        </w:rPr>
        <w:t>El Salvador</w:t>
      </w:r>
      <w:r w:rsidRPr="00F0673F">
        <w:rPr>
          <w:sz w:val="20"/>
          <w:szCs w:val="20"/>
        </w:rPr>
        <w:t xml:space="preserve">, ¶ 37, U.N. Doc. CRPD/C/SLV/CO/1 (2013); </w:t>
      </w:r>
      <w:r w:rsidRPr="00F0673F">
        <w:rPr>
          <w:i/>
          <w:sz w:val="20"/>
          <w:szCs w:val="20"/>
        </w:rPr>
        <w:t>China</w:t>
      </w:r>
      <w:r w:rsidRPr="00F0673F">
        <w:rPr>
          <w:sz w:val="20"/>
          <w:szCs w:val="20"/>
        </w:rPr>
        <w:t>, ¶ 33, U.N. Doc. CRPD/C/CHN/CO/1 (2012).</w:t>
      </w:r>
    </w:p>
  </w:endnote>
  <w:endnote w:id="36">
    <w:p w14:paraId="25055E7C" w14:textId="5FB12B4B"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w:t>
      </w:r>
      <w:r>
        <w:rPr>
          <w:i/>
          <w:sz w:val="20"/>
          <w:szCs w:val="20"/>
        </w:rPr>
        <w:t xml:space="preserve"> to</w:t>
      </w:r>
      <w:r w:rsidRPr="00F0673F">
        <w:rPr>
          <w:i/>
          <w:sz w:val="20"/>
          <w:szCs w:val="20"/>
        </w:rPr>
        <w:t>: Cook Islands</w:t>
      </w:r>
      <w:r w:rsidRPr="00F0673F">
        <w:rPr>
          <w:sz w:val="20"/>
          <w:szCs w:val="20"/>
        </w:rPr>
        <w:t xml:space="preserve">, ¶ 35, U.N. Doc. CRPD/C/COK/CO/1 (2015); </w:t>
      </w:r>
      <w:r w:rsidRPr="00F0673F">
        <w:rPr>
          <w:i/>
          <w:sz w:val="20"/>
          <w:szCs w:val="20"/>
        </w:rPr>
        <w:t>Mauritius</w:t>
      </w:r>
      <w:r w:rsidRPr="00F0673F">
        <w:rPr>
          <w:sz w:val="20"/>
          <w:szCs w:val="20"/>
        </w:rPr>
        <w:t>, ¶ 29, U.N. Doc. CRPD/C/MUS/CO/1 (2015).</w:t>
      </w:r>
    </w:p>
  </w:endnote>
  <w:endnote w:id="37">
    <w:p w14:paraId="5A0677F6" w14:textId="118EBAC4"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w:t>
      </w:r>
      <w:r>
        <w:rPr>
          <w:i/>
          <w:sz w:val="20"/>
          <w:szCs w:val="20"/>
        </w:rPr>
        <w:t xml:space="preserve"> to</w:t>
      </w:r>
      <w:r w:rsidRPr="00F0673F">
        <w:rPr>
          <w:i/>
          <w:sz w:val="20"/>
          <w:szCs w:val="20"/>
        </w:rPr>
        <w:t>: Colombia</w:t>
      </w:r>
      <w:r w:rsidRPr="00F0673F">
        <w:rPr>
          <w:sz w:val="20"/>
          <w:szCs w:val="20"/>
        </w:rPr>
        <w:t xml:space="preserve">, ¶ 30, U.N. Doc. CRPD/C/COL/CO/1 (2016); </w:t>
      </w:r>
      <w:r w:rsidRPr="00F0673F">
        <w:rPr>
          <w:i/>
          <w:sz w:val="20"/>
          <w:szCs w:val="20"/>
        </w:rPr>
        <w:t>Serbia</w:t>
      </w:r>
      <w:r w:rsidRPr="00F0673F">
        <w:rPr>
          <w:sz w:val="20"/>
          <w:szCs w:val="20"/>
        </w:rPr>
        <w:t xml:space="preserve">, ¶ 37, U.N. Doc. CRPD/C/SRB/CO/1 (2016); </w:t>
      </w:r>
      <w:r w:rsidRPr="00F0673F">
        <w:rPr>
          <w:i/>
          <w:sz w:val="20"/>
          <w:szCs w:val="20"/>
        </w:rPr>
        <w:t>Portugal</w:t>
      </w:r>
      <w:r w:rsidRPr="00F0673F">
        <w:rPr>
          <w:sz w:val="20"/>
          <w:szCs w:val="20"/>
        </w:rPr>
        <w:t xml:space="preserve">, ¶ 36, U.N. Doc. CRPD/C/PRT/CO/1 (2016); </w:t>
      </w:r>
      <w:r w:rsidRPr="00F0673F">
        <w:rPr>
          <w:i/>
          <w:sz w:val="20"/>
          <w:szCs w:val="20"/>
        </w:rPr>
        <w:t>Dominican Republic</w:t>
      </w:r>
      <w:r w:rsidRPr="00F0673F">
        <w:rPr>
          <w:sz w:val="20"/>
          <w:szCs w:val="20"/>
        </w:rPr>
        <w:t xml:space="preserve">, ¶ 34, U.N. Doc. CRPD/C/DOM/CO/1 (2015); </w:t>
      </w:r>
      <w:r w:rsidRPr="00F0673F">
        <w:rPr>
          <w:i/>
          <w:sz w:val="20"/>
          <w:szCs w:val="20"/>
        </w:rPr>
        <w:t>Peru</w:t>
      </w:r>
      <w:r w:rsidRPr="00F0673F">
        <w:rPr>
          <w:sz w:val="20"/>
          <w:szCs w:val="20"/>
        </w:rPr>
        <w:t>, ¶ 34, U.N. Doc. CRPD/C/PER/CO/1 (2012);</w:t>
      </w:r>
      <w:r w:rsidRPr="00F0673F">
        <w:rPr>
          <w:i/>
          <w:sz w:val="20"/>
          <w:szCs w:val="20"/>
        </w:rPr>
        <w:t xml:space="preserve"> Spain</w:t>
      </w:r>
      <w:r w:rsidRPr="00F0673F">
        <w:rPr>
          <w:sz w:val="20"/>
          <w:szCs w:val="20"/>
        </w:rPr>
        <w:t>, ¶ 37, U.N. Doc. CRPD/C/ESP/CO/1 (2011).</w:t>
      </w:r>
    </w:p>
  </w:endnote>
  <w:endnote w:id="38">
    <w:p w14:paraId="45350C0E" w14:textId="2A600C23"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w:t>
      </w:r>
      <w:r>
        <w:rPr>
          <w:i/>
          <w:sz w:val="20"/>
          <w:szCs w:val="20"/>
        </w:rPr>
        <w:t xml:space="preserve"> to</w:t>
      </w:r>
      <w:r w:rsidRPr="00F0673F">
        <w:rPr>
          <w:i/>
          <w:sz w:val="20"/>
          <w:szCs w:val="20"/>
        </w:rPr>
        <w:t>: Colombia</w:t>
      </w:r>
      <w:r w:rsidRPr="00F0673F">
        <w:rPr>
          <w:sz w:val="20"/>
          <w:szCs w:val="20"/>
        </w:rPr>
        <w:t xml:space="preserve">, ¶ 46, U.N. Doc. CRPD/C/COL/CO/1 (2016); </w:t>
      </w:r>
      <w:r w:rsidRPr="00F0673F">
        <w:rPr>
          <w:i/>
          <w:sz w:val="20"/>
          <w:szCs w:val="20"/>
        </w:rPr>
        <w:t>New Zealand</w:t>
      </w:r>
      <w:r w:rsidRPr="00F0673F">
        <w:rPr>
          <w:sz w:val="20"/>
          <w:szCs w:val="20"/>
        </w:rPr>
        <w:t>, ¶ 37, U.N. Doc. CRPD/C/NZL/CO/1 (2014).</w:t>
      </w:r>
    </w:p>
  </w:endnote>
  <w:endnote w:id="39">
    <w:p w14:paraId="2CF60970" w14:textId="4181C928"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CRPD Committee, </w:t>
      </w:r>
      <w:r w:rsidRPr="00F0673F">
        <w:rPr>
          <w:i/>
          <w:sz w:val="20"/>
          <w:szCs w:val="20"/>
        </w:rPr>
        <w:t xml:space="preserve">Concluding Observations: Colombia, </w:t>
      </w:r>
      <w:r w:rsidRPr="00F0673F">
        <w:rPr>
          <w:sz w:val="20"/>
          <w:szCs w:val="20"/>
        </w:rPr>
        <w:t>¶¶ 46-47, U.N. Doc. CRPD/C/COL/CO/1 (2016)</w:t>
      </w:r>
      <w:r>
        <w:rPr>
          <w:sz w:val="20"/>
          <w:szCs w:val="20"/>
        </w:rPr>
        <w:t>.</w:t>
      </w:r>
    </w:p>
  </w:endnote>
  <w:endnote w:id="40">
    <w:p w14:paraId="4F52566C" w14:textId="1CF8EE3A"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CEDAW Committee, </w:t>
      </w:r>
      <w:r w:rsidRPr="00F0673F">
        <w:rPr>
          <w:i/>
          <w:sz w:val="20"/>
          <w:szCs w:val="20"/>
        </w:rPr>
        <w:t>Concluding Observations: Colombia</w:t>
      </w:r>
      <w:r w:rsidRPr="00F0673F">
        <w:rPr>
          <w:sz w:val="20"/>
          <w:szCs w:val="20"/>
        </w:rPr>
        <w:t>, ¶ 30 (e), U.N. Doc. CEDAW/C/COL/CO/7-8.</w:t>
      </w:r>
    </w:p>
  </w:endnote>
  <w:endnote w:id="41">
    <w:p w14:paraId="5A02DA9A" w14:textId="41BE6DA9" w:rsidR="00C937A5" w:rsidRPr="00F0673F" w:rsidRDefault="00C937A5" w:rsidP="00255789">
      <w:pPr>
        <w:widowControl w:val="0"/>
        <w:rPr>
          <w:rFonts w:eastAsia="Cambria"/>
          <w:sz w:val="20"/>
          <w:szCs w:val="20"/>
        </w:rPr>
      </w:pPr>
      <w:r w:rsidRPr="00F0673F">
        <w:rPr>
          <w:sz w:val="20"/>
          <w:szCs w:val="20"/>
          <w:vertAlign w:val="superscript"/>
        </w:rPr>
        <w:endnoteRef/>
      </w:r>
      <w:r w:rsidRPr="00F0673F">
        <w:rPr>
          <w:rFonts w:eastAsia="Cambria"/>
          <w:sz w:val="20"/>
          <w:szCs w:val="20"/>
        </w:rPr>
        <w:t xml:space="preserve"> </w:t>
      </w:r>
      <w:r w:rsidRPr="00F0673F">
        <w:rPr>
          <w:rFonts w:eastAsia="Cambria"/>
          <w:smallCaps/>
          <w:sz w:val="20"/>
          <w:szCs w:val="20"/>
        </w:rPr>
        <w:t xml:space="preserve">L. 1306/09, </w:t>
      </w:r>
      <w:proofErr w:type="spellStart"/>
      <w:r w:rsidRPr="00F0673F">
        <w:rPr>
          <w:rFonts w:eastAsia="Cambria"/>
          <w:smallCaps/>
          <w:sz w:val="20"/>
          <w:szCs w:val="20"/>
        </w:rPr>
        <w:t>junio</w:t>
      </w:r>
      <w:proofErr w:type="spellEnd"/>
      <w:r w:rsidRPr="00F0673F">
        <w:rPr>
          <w:rFonts w:eastAsia="Cambria"/>
          <w:smallCaps/>
          <w:sz w:val="20"/>
          <w:szCs w:val="20"/>
        </w:rPr>
        <w:t xml:space="preserve"> 5, 2009,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art. 50 (Colom.)</w:t>
      </w:r>
      <w:r>
        <w:rPr>
          <w:sz w:val="20"/>
          <w:szCs w:val="20"/>
          <w:lang w:val="es-ES"/>
        </w:rPr>
        <w:t>.</w:t>
      </w:r>
    </w:p>
  </w:endnote>
  <w:endnote w:id="42">
    <w:p w14:paraId="6C54EBCA" w14:textId="73919FB7"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C.C. (</w:t>
      </w:r>
      <w:r w:rsidRPr="00F0673F">
        <w:rPr>
          <w:sz w:val="20"/>
          <w:szCs w:val="20"/>
        </w:rPr>
        <w:t xml:space="preserve">Civil Code), art. 1504. (Colom.) </w:t>
      </w:r>
      <w:r>
        <w:rPr>
          <w:sz w:val="20"/>
          <w:szCs w:val="20"/>
        </w:rPr>
        <w:t>(</w:t>
      </w:r>
      <w:r w:rsidRPr="00F0673F">
        <w:rPr>
          <w:sz w:val="20"/>
          <w:szCs w:val="20"/>
        </w:rPr>
        <w:t>“People who are deemed absolutely incapable include people with mental disabilities, prepubescent and deaf persons who cannot make themselves understood. Their actions do not result in even natural obligations and are not plausible for bond.”</w:t>
      </w:r>
      <w:r>
        <w:rPr>
          <w:sz w:val="20"/>
          <w:szCs w:val="20"/>
        </w:rPr>
        <w:t>).</w:t>
      </w:r>
    </w:p>
  </w:endnote>
  <w:endnote w:id="43">
    <w:p w14:paraId="424F8629" w14:textId="77E16A3A" w:rsidR="00C937A5" w:rsidRPr="00B61766" w:rsidRDefault="00C937A5" w:rsidP="00255789">
      <w:pPr>
        <w:rPr>
          <w:sz w:val="20"/>
          <w:szCs w:val="20"/>
        </w:rPr>
      </w:pPr>
      <w:r w:rsidRPr="00B61766">
        <w:rPr>
          <w:sz w:val="20"/>
          <w:szCs w:val="20"/>
          <w:vertAlign w:val="superscript"/>
        </w:rPr>
        <w:endnoteRef/>
      </w:r>
      <w:r w:rsidRPr="00B61766">
        <w:rPr>
          <w:sz w:val="20"/>
          <w:szCs w:val="20"/>
        </w:rPr>
        <w:t xml:space="preserve"> </w:t>
      </w:r>
      <w:r w:rsidRPr="00B61766">
        <w:rPr>
          <w:i/>
          <w:sz w:val="20"/>
          <w:szCs w:val="20"/>
        </w:rPr>
        <w:t>See, e.g.</w:t>
      </w:r>
      <w:r w:rsidRPr="00B61766">
        <w:rPr>
          <w:sz w:val="20"/>
          <w:szCs w:val="20"/>
        </w:rPr>
        <w:t>, ESCR Committee,</w:t>
      </w:r>
      <w:r w:rsidRPr="00B61766">
        <w:rPr>
          <w:i/>
          <w:sz w:val="20"/>
          <w:szCs w:val="20"/>
        </w:rPr>
        <w:t xml:space="preserve"> General Comment No. 22: the right to sexual and reproductive health</w:t>
      </w:r>
      <w:r w:rsidRPr="00B61766">
        <w:rPr>
          <w:sz w:val="20"/>
          <w:szCs w:val="20"/>
        </w:rPr>
        <w:t xml:space="preserve">, ¶ 25, U.N. Doc. E/C.12/GC/22 (2016); </w:t>
      </w:r>
      <w:proofErr w:type="spellStart"/>
      <w:r w:rsidRPr="00B61766">
        <w:rPr>
          <w:sz w:val="20"/>
          <w:szCs w:val="20"/>
        </w:rPr>
        <w:t>Artavia</w:t>
      </w:r>
      <w:proofErr w:type="spellEnd"/>
      <w:r w:rsidRPr="00B61766">
        <w:rPr>
          <w:sz w:val="20"/>
          <w:szCs w:val="20"/>
        </w:rPr>
        <w:t xml:space="preserve"> Murillo et. al. v. Costa Rica, </w:t>
      </w:r>
      <w:proofErr w:type="spellStart"/>
      <w:r w:rsidRPr="00B61766">
        <w:rPr>
          <w:sz w:val="20"/>
          <w:szCs w:val="20"/>
          <w:lang w:val="es-ES"/>
        </w:rPr>
        <w:t>Merits</w:t>
      </w:r>
      <w:proofErr w:type="spellEnd"/>
      <w:r w:rsidRPr="00B61766">
        <w:rPr>
          <w:sz w:val="20"/>
          <w:szCs w:val="20"/>
          <w:lang w:val="es-ES"/>
        </w:rPr>
        <w:t xml:space="preserve">, </w:t>
      </w:r>
      <w:proofErr w:type="spellStart"/>
      <w:r w:rsidRPr="00B61766">
        <w:rPr>
          <w:sz w:val="20"/>
          <w:szCs w:val="20"/>
          <w:lang w:val="es-ES"/>
        </w:rPr>
        <w:t>Reparations</w:t>
      </w:r>
      <w:proofErr w:type="spellEnd"/>
      <w:r w:rsidRPr="00B61766">
        <w:rPr>
          <w:sz w:val="20"/>
          <w:szCs w:val="20"/>
          <w:lang w:val="es-ES"/>
        </w:rPr>
        <w:t xml:space="preserve">, and </w:t>
      </w:r>
      <w:proofErr w:type="spellStart"/>
      <w:r w:rsidRPr="00B61766">
        <w:rPr>
          <w:sz w:val="20"/>
          <w:szCs w:val="20"/>
          <w:lang w:val="es-ES"/>
        </w:rPr>
        <w:t>Costs</w:t>
      </w:r>
      <w:proofErr w:type="spellEnd"/>
      <w:r w:rsidRPr="00B61766">
        <w:rPr>
          <w:sz w:val="20"/>
          <w:szCs w:val="20"/>
          <w:lang w:val="es-ES"/>
        </w:rPr>
        <w:t xml:space="preserve">, </w:t>
      </w:r>
      <w:proofErr w:type="spellStart"/>
      <w:r w:rsidRPr="00B61766">
        <w:rPr>
          <w:sz w:val="20"/>
          <w:szCs w:val="20"/>
          <w:lang w:val="es-ES"/>
        </w:rPr>
        <w:t>Judgement</w:t>
      </w:r>
      <w:proofErr w:type="spellEnd"/>
      <w:r w:rsidRPr="00B61766">
        <w:rPr>
          <w:sz w:val="20"/>
          <w:szCs w:val="20"/>
          <w:lang w:val="es-ES"/>
        </w:rPr>
        <w:t xml:space="preserve">, </w:t>
      </w:r>
      <w:r w:rsidRPr="00B61766">
        <w:rPr>
          <w:sz w:val="20"/>
          <w:szCs w:val="20"/>
        </w:rPr>
        <w:t xml:space="preserve">Inter-Am. Ct. H.R., (ser. C) No. 257, ¶ 296 (Nov. 28, 2012). </w:t>
      </w:r>
    </w:p>
  </w:endnote>
  <w:endnote w:id="44">
    <w:p w14:paraId="22ACD627" w14:textId="13AB058A" w:rsidR="00C937A5" w:rsidRPr="00F0673F" w:rsidRDefault="00C937A5" w:rsidP="00255789">
      <w:pPr>
        <w:rPr>
          <w:sz w:val="20"/>
          <w:szCs w:val="20"/>
        </w:rPr>
      </w:pPr>
      <w:r w:rsidRPr="00B61766">
        <w:rPr>
          <w:sz w:val="20"/>
          <w:szCs w:val="20"/>
          <w:vertAlign w:val="superscript"/>
        </w:rPr>
        <w:endnoteRef/>
      </w:r>
      <w:r w:rsidRPr="00B61766">
        <w:rPr>
          <w:sz w:val="20"/>
          <w:szCs w:val="20"/>
        </w:rPr>
        <w:t xml:space="preserve"> CRPD Committee, </w:t>
      </w:r>
      <w:r w:rsidRPr="00B61766">
        <w:rPr>
          <w:i/>
          <w:sz w:val="20"/>
          <w:szCs w:val="20"/>
        </w:rPr>
        <w:t xml:space="preserve">General Comment No. 3: Article 6: Women and girls with </w:t>
      </w:r>
      <w:r>
        <w:rPr>
          <w:i/>
          <w:sz w:val="20"/>
          <w:szCs w:val="20"/>
        </w:rPr>
        <w:t>disabilities</w:t>
      </w:r>
      <w:r>
        <w:rPr>
          <w:sz w:val="20"/>
          <w:szCs w:val="20"/>
        </w:rPr>
        <w:t>, ¶ 46, U.N. Doc.</w:t>
      </w:r>
      <w:r w:rsidRPr="00B61766">
        <w:rPr>
          <w:sz w:val="20"/>
          <w:szCs w:val="20"/>
        </w:rPr>
        <w:t xml:space="preserve"> CRPD/C</w:t>
      </w:r>
      <w:r w:rsidRPr="00F0673F">
        <w:rPr>
          <w:sz w:val="20"/>
          <w:szCs w:val="20"/>
        </w:rPr>
        <w:t xml:space="preserve">/GC/3 </w:t>
      </w:r>
      <w:r>
        <w:rPr>
          <w:sz w:val="20"/>
          <w:szCs w:val="20"/>
        </w:rPr>
        <w:t>(2016).</w:t>
      </w:r>
    </w:p>
  </w:endnote>
  <w:endnote w:id="45">
    <w:p w14:paraId="37CDEC3F" w14:textId="195E6836"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Corte Constitutional [C.C.] [Constitutional Court], </w:t>
      </w:r>
      <w:proofErr w:type="spellStart"/>
      <w:r w:rsidRPr="00F0673F">
        <w:rPr>
          <w:sz w:val="20"/>
          <w:szCs w:val="20"/>
        </w:rPr>
        <w:t>diciembre</w:t>
      </w:r>
      <w:proofErr w:type="spellEnd"/>
      <w:r w:rsidRPr="00F0673F">
        <w:rPr>
          <w:sz w:val="20"/>
          <w:szCs w:val="20"/>
        </w:rPr>
        <w:t xml:space="preserve"> 2 de 2015, </w:t>
      </w:r>
      <w:proofErr w:type="spellStart"/>
      <w:r w:rsidRPr="00F0673F">
        <w:rPr>
          <w:sz w:val="20"/>
          <w:szCs w:val="20"/>
        </w:rPr>
        <w:t>Sentencia</w:t>
      </w:r>
      <w:proofErr w:type="spellEnd"/>
      <w:r w:rsidRPr="00F0673F">
        <w:rPr>
          <w:sz w:val="20"/>
          <w:szCs w:val="20"/>
        </w:rPr>
        <w:t xml:space="preserve"> C-741/2015</w:t>
      </w:r>
      <w:r w:rsidRPr="00F0673F">
        <w:rPr>
          <w:rFonts w:eastAsia="Times"/>
          <w:sz w:val="20"/>
          <w:szCs w:val="20"/>
        </w:rPr>
        <w:t xml:space="preserve"> (Colom.)</w:t>
      </w:r>
      <w:r>
        <w:rPr>
          <w:rFonts w:eastAsia="Times"/>
          <w:sz w:val="20"/>
          <w:szCs w:val="20"/>
        </w:rPr>
        <w:t>.</w:t>
      </w:r>
      <w:r w:rsidRPr="00F0673F">
        <w:rPr>
          <w:rFonts w:eastAsia="Times"/>
          <w:sz w:val="20"/>
          <w:szCs w:val="20"/>
        </w:rPr>
        <w:t xml:space="preserve"> </w:t>
      </w:r>
    </w:p>
  </w:endnote>
  <w:endnote w:id="46">
    <w:p w14:paraId="71ECF976" w14:textId="7777777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B61766">
        <w:rPr>
          <w:i/>
          <w:sz w:val="20"/>
          <w:szCs w:val="20"/>
        </w:rPr>
        <w:t>Id</w:t>
      </w:r>
      <w:r w:rsidRPr="00F0673F">
        <w:rPr>
          <w:sz w:val="20"/>
          <w:szCs w:val="20"/>
        </w:rPr>
        <w:t>.</w:t>
      </w:r>
    </w:p>
  </w:endnote>
  <w:endnote w:id="47">
    <w:p w14:paraId="2B2B1622" w14:textId="55D0AE3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 xml:space="preserve">L. 1098/06, </w:t>
      </w:r>
      <w:proofErr w:type="spellStart"/>
      <w:r w:rsidRPr="00F0673F">
        <w:rPr>
          <w:rFonts w:eastAsia="Cambria"/>
          <w:smallCaps/>
          <w:sz w:val="20"/>
          <w:szCs w:val="20"/>
        </w:rPr>
        <w:t>noviembre</w:t>
      </w:r>
      <w:proofErr w:type="spellEnd"/>
      <w:r w:rsidRPr="00F0673F">
        <w:rPr>
          <w:rFonts w:eastAsia="Cambria"/>
          <w:smallCaps/>
          <w:sz w:val="20"/>
          <w:szCs w:val="20"/>
        </w:rPr>
        <w:t xml:space="preserve"> 8, 2006,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 46,446,</w:t>
      </w:r>
      <w:r w:rsidRPr="00F0673F">
        <w:rPr>
          <w:sz w:val="20"/>
          <w:szCs w:val="20"/>
          <w:lang w:val="es-ES"/>
        </w:rPr>
        <w:t xml:space="preserve"> art. 68 (Colom.)</w:t>
      </w:r>
      <w:r>
        <w:rPr>
          <w:sz w:val="20"/>
          <w:szCs w:val="20"/>
          <w:lang w:val="es-ES"/>
        </w:rPr>
        <w:t>.</w:t>
      </w:r>
    </w:p>
  </w:endnote>
  <w:endnote w:id="48">
    <w:p w14:paraId="5A190268" w14:textId="1718F639"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Testimony of Sandra Catalina León, on file with authors.</w:t>
      </w:r>
    </w:p>
  </w:endnote>
  <w:endnote w:id="49">
    <w:p w14:paraId="5891A13E" w14:textId="41B86293"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Corte Constitutional [C.C.] [Constitutional Court], </w:t>
      </w:r>
      <w:proofErr w:type="spellStart"/>
      <w:r w:rsidRPr="00F0673F">
        <w:rPr>
          <w:sz w:val="20"/>
          <w:szCs w:val="20"/>
        </w:rPr>
        <w:t>septiembre</w:t>
      </w:r>
      <w:proofErr w:type="spellEnd"/>
      <w:r w:rsidRPr="00F0673F">
        <w:rPr>
          <w:sz w:val="20"/>
          <w:szCs w:val="20"/>
        </w:rPr>
        <w:t xml:space="preserve"> 11 de 2014, </w:t>
      </w:r>
      <w:proofErr w:type="spellStart"/>
      <w:r w:rsidRPr="00F0673F">
        <w:rPr>
          <w:sz w:val="20"/>
          <w:szCs w:val="20"/>
        </w:rPr>
        <w:t>Sentencia</w:t>
      </w:r>
      <w:proofErr w:type="spellEnd"/>
      <w:r w:rsidRPr="00F0673F">
        <w:rPr>
          <w:sz w:val="20"/>
          <w:szCs w:val="20"/>
        </w:rPr>
        <w:t xml:space="preserve"> T-684/2014</w:t>
      </w:r>
      <w:r w:rsidRPr="00F0673F">
        <w:rPr>
          <w:rFonts w:eastAsia="Times"/>
          <w:sz w:val="20"/>
          <w:szCs w:val="20"/>
        </w:rPr>
        <w:t xml:space="preserve"> (Colom.)</w:t>
      </w:r>
      <w:r>
        <w:rPr>
          <w:rFonts w:eastAsia="Times"/>
          <w:sz w:val="20"/>
          <w:szCs w:val="20"/>
        </w:rPr>
        <w:t>.</w:t>
      </w:r>
    </w:p>
  </w:endnote>
  <w:endnote w:id="50">
    <w:p w14:paraId="6165DE75" w14:textId="7777777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B61766">
        <w:rPr>
          <w:i/>
          <w:sz w:val="20"/>
          <w:szCs w:val="20"/>
        </w:rPr>
        <w:t>Id</w:t>
      </w:r>
      <w:r w:rsidRPr="00F0673F">
        <w:rPr>
          <w:sz w:val="20"/>
          <w:szCs w:val="20"/>
        </w:rPr>
        <w:t>.</w:t>
      </w:r>
    </w:p>
  </w:endnote>
  <w:endnote w:id="51">
    <w:p w14:paraId="2D6464ED" w14:textId="1108A4E8" w:rsidR="00C937A5" w:rsidRPr="00F0673F" w:rsidRDefault="00C937A5" w:rsidP="00255789">
      <w:pPr>
        <w:rPr>
          <w:sz w:val="20"/>
          <w:szCs w:val="20"/>
          <w:highlight w:val="yellow"/>
        </w:rPr>
      </w:pPr>
      <w:r w:rsidRPr="00F0673F">
        <w:rPr>
          <w:sz w:val="20"/>
          <w:szCs w:val="20"/>
          <w:vertAlign w:val="superscript"/>
        </w:rPr>
        <w:endnoteRef/>
      </w:r>
      <w:r w:rsidRPr="00F0673F">
        <w:rPr>
          <w:sz w:val="20"/>
          <w:szCs w:val="20"/>
        </w:rPr>
        <w:t xml:space="preserve"> </w:t>
      </w:r>
      <w:r w:rsidRPr="00B61766">
        <w:rPr>
          <w:sz w:val="20"/>
          <w:szCs w:val="20"/>
        </w:rPr>
        <w:t xml:space="preserve">CRPD Committee, </w:t>
      </w:r>
      <w:r w:rsidRPr="00B61766">
        <w:rPr>
          <w:i/>
          <w:sz w:val="20"/>
          <w:szCs w:val="20"/>
        </w:rPr>
        <w:t xml:space="preserve">General Comment No. 3: Article 6: Women and girls with </w:t>
      </w:r>
      <w:r>
        <w:rPr>
          <w:i/>
          <w:sz w:val="20"/>
          <w:szCs w:val="20"/>
        </w:rPr>
        <w:t>disabilities</w:t>
      </w:r>
      <w:r>
        <w:rPr>
          <w:sz w:val="20"/>
          <w:szCs w:val="20"/>
        </w:rPr>
        <w:t>, ¶ 46, U.N. Doc.</w:t>
      </w:r>
      <w:r w:rsidRPr="00B61766">
        <w:rPr>
          <w:sz w:val="20"/>
          <w:szCs w:val="20"/>
        </w:rPr>
        <w:t xml:space="preserve"> CRPD/C</w:t>
      </w:r>
      <w:r w:rsidRPr="00F0673F">
        <w:rPr>
          <w:sz w:val="20"/>
          <w:szCs w:val="20"/>
        </w:rPr>
        <w:t xml:space="preserve">/GC/3 </w:t>
      </w:r>
      <w:r>
        <w:rPr>
          <w:sz w:val="20"/>
          <w:szCs w:val="20"/>
        </w:rPr>
        <w:t>(2016).</w:t>
      </w:r>
    </w:p>
  </w:endnote>
  <w:endnote w:id="52">
    <w:p w14:paraId="52BD0BBA" w14:textId="6C2F7B00"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General Comment No. 5: Persons with disabilities</w:t>
      </w:r>
      <w:r w:rsidRPr="00F0673F">
        <w:rPr>
          <w:sz w:val="20"/>
          <w:szCs w:val="20"/>
        </w:rPr>
        <w:t xml:space="preserve">, ¶ 30, U.N. Doc. E/1995/22 (1994). </w:t>
      </w:r>
    </w:p>
  </w:endnote>
  <w:endnote w:id="53">
    <w:p w14:paraId="20DAD6F1" w14:textId="03989E96"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Pr="00B61766">
        <w:rPr>
          <w:sz w:val="20"/>
          <w:szCs w:val="20"/>
        </w:rPr>
        <w:t xml:space="preserve">CRPD Committee, </w:t>
      </w:r>
      <w:r w:rsidRPr="00B61766">
        <w:rPr>
          <w:i/>
          <w:sz w:val="20"/>
          <w:szCs w:val="20"/>
        </w:rPr>
        <w:t xml:space="preserve">General Comment No. 3: Article 6: Women and girls with </w:t>
      </w:r>
      <w:r>
        <w:rPr>
          <w:i/>
          <w:sz w:val="20"/>
          <w:szCs w:val="20"/>
        </w:rPr>
        <w:t>disabilities</w:t>
      </w:r>
      <w:r>
        <w:rPr>
          <w:sz w:val="20"/>
          <w:szCs w:val="20"/>
        </w:rPr>
        <w:t>, ¶ 25, U.N. Doc.</w:t>
      </w:r>
      <w:r w:rsidRPr="00B61766">
        <w:rPr>
          <w:sz w:val="20"/>
          <w:szCs w:val="20"/>
        </w:rPr>
        <w:t xml:space="preserve"> CRPD/C</w:t>
      </w:r>
      <w:r w:rsidRPr="00F0673F">
        <w:rPr>
          <w:sz w:val="20"/>
          <w:szCs w:val="20"/>
        </w:rPr>
        <w:t xml:space="preserve">/GC/3 </w:t>
      </w:r>
      <w:r>
        <w:rPr>
          <w:sz w:val="20"/>
          <w:szCs w:val="20"/>
        </w:rPr>
        <w:t>(2016)</w:t>
      </w:r>
      <w:r w:rsidRPr="00F0673F">
        <w:rPr>
          <w:sz w:val="20"/>
          <w:szCs w:val="20"/>
        </w:rPr>
        <w:t>.</w:t>
      </w:r>
    </w:p>
  </w:endnote>
  <w:endnote w:id="54">
    <w:p w14:paraId="3FB1B7E1" w14:textId="77777777" w:rsidR="00C937A5" w:rsidRPr="00F0673F" w:rsidRDefault="00C937A5" w:rsidP="00255789">
      <w:pPr>
        <w:pStyle w:val="EndnoteText"/>
        <w:jc w:val="left"/>
        <w:rPr>
          <w:b/>
          <w:sz w:val="20"/>
          <w:szCs w:val="20"/>
        </w:rPr>
      </w:pPr>
      <w:r w:rsidRPr="00F0673F">
        <w:rPr>
          <w:rStyle w:val="EndnoteReference"/>
          <w:sz w:val="20"/>
          <w:szCs w:val="20"/>
        </w:rPr>
        <w:endnoteRef/>
      </w:r>
      <w:r w:rsidRPr="00F0673F">
        <w:rPr>
          <w:sz w:val="20"/>
          <w:szCs w:val="20"/>
        </w:rPr>
        <w:t xml:space="preserve"> CEDAW Committee, </w:t>
      </w:r>
      <w:r w:rsidRPr="00F0673F">
        <w:rPr>
          <w:i/>
          <w:sz w:val="20"/>
          <w:szCs w:val="20"/>
        </w:rPr>
        <w:t>Concluding Observations: Czech Republic</w:t>
      </w:r>
      <w:r w:rsidRPr="00F0673F">
        <w:rPr>
          <w:sz w:val="20"/>
          <w:szCs w:val="20"/>
        </w:rPr>
        <w:t>, ¶ 41, U.N. Doc.</w:t>
      </w:r>
      <w:r w:rsidRPr="00F0673F">
        <w:rPr>
          <w:i/>
          <w:sz w:val="20"/>
          <w:szCs w:val="20"/>
        </w:rPr>
        <w:t xml:space="preserve"> </w:t>
      </w:r>
      <w:r w:rsidRPr="00F0673F">
        <w:rPr>
          <w:rFonts w:eastAsia="MS Mincho"/>
          <w:bCs/>
          <w:sz w:val="20"/>
          <w:szCs w:val="20"/>
        </w:rPr>
        <w:t>CEDAW/C/CZE/CO/6 (2016).</w:t>
      </w:r>
    </w:p>
  </w:endnote>
  <w:endnote w:id="55">
    <w:p w14:paraId="0B180364" w14:textId="1E0DD70A"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Corte Constitutional [C.C.] [Constitutional Court], </w:t>
      </w:r>
      <w:proofErr w:type="spellStart"/>
      <w:r w:rsidRPr="00F0673F">
        <w:rPr>
          <w:sz w:val="20"/>
          <w:szCs w:val="20"/>
        </w:rPr>
        <w:t>septiembre</w:t>
      </w:r>
      <w:proofErr w:type="spellEnd"/>
      <w:r w:rsidRPr="00F0673F">
        <w:rPr>
          <w:sz w:val="20"/>
          <w:szCs w:val="20"/>
        </w:rPr>
        <w:t xml:space="preserve"> 11 de 2014, </w:t>
      </w:r>
      <w:proofErr w:type="spellStart"/>
      <w:r w:rsidRPr="00F0673F">
        <w:rPr>
          <w:sz w:val="20"/>
          <w:szCs w:val="20"/>
        </w:rPr>
        <w:t>Sentencia</w:t>
      </w:r>
      <w:proofErr w:type="spellEnd"/>
      <w:r w:rsidRPr="00F0673F">
        <w:rPr>
          <w:sz w:val="20"/>
          <w:szCs w:val="20"/>
        </w:rPr>
        <w:t xml:space="preserve"> T-684/2014</w:t>
      </w:r>
      <w:r w:rsidRPr="00F0673F">
        <w:rPr>
          <w:rFonts w:eastAsia="Times"/>
          <w:sz w:val="20"/>
          <w:szCs w:val="20"/>
        </w:rPr>
        <w:t xml:space="preserve"> (Colom.)</w:t>
      </w:r>
    </w:p>
  </w:endnote>
  <w:endnote w:id="56">
    <w:p w14:paraId="570CE38D" w14:textId="77777777"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Testimony of Sandra Catalina León, on file with authors.</w:t>
      </w:r>
    </w:p>
  </w:endnote>
  <w:endnote w:id="57">
    <w:p w14:paraId="1411DB74" w14:textId="10DC0590"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ESCR Committee, </w:t>
      </w:r>
      <w:r w:rsidRPr="00F0673F">
        <w:rPr>
          <w:i/>
          <w:sz w:val="20"/>
          <w:szCs w:val="20"/>
        </w:rPr>
        <w:t>General Comment No. 4: The right to adequate housing</w:t>
      </w:r>
      <w:r w:rsidRPr="00F0673F">
        <w:rPr>
          <w:sz w:val="20"/>
          <w:szCs w:val="20"/>
        </w:rPr>
        <w:t xml:space="preserve">, ¶ 9, </w:t>
      </w:r>
      <w:r>
        <w:rPr>
          <w:sz w:val="20"/>
          <w:szCs w:val="20"/>
        </w:rPr>
        <w:t xml:space="preserve">U.N. Doc. E/1992/23 </w:t>
      </w:r>
      <w:r w:rsidRPr="00F0673F">
        <w:rPr>
          <w:sz w:val="20"/>
          <w:szCs w:val="20"/>
        </w:rPr>
        <w:t>(1991)</w:t>
      </w:r>
      <w:r>
        <w:rPr>
          <w:sz w:val="20"/>
          <w:szCs w:val="20"/>
        </w:rPr>
        <w:t>.</w:t>
      </w:r>
    </w:p>
  </w:endnote>
  <w:endnote w:id="58">
    <w:p w14:paraId="6E582EE2" w14:textId="63CE2274"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Carolyn </w:t>
      </w:r>
      <w:proofErr w:type="spellStart"/>
      <w:r w:rsidRPr="00F0673F">
        <w:rPr>
          <w:sz w:val="20"/>
          <w:szCs w:val="20"/>
        </w:rPr>
        <w:t>Frohmader</w:t>
      </w:r>
      <w:proofErr w:type="spellEnd"/>
      <w:r w:rsidRPr="00F0673F">
        <w:rPr>
          <w:sz w:val="20"/>
          <w:szCs w:val="20"/>
        </w:rPr>
        <w:t xml:space="preserve"> &amp; Stephanie Ortoleva, </w:t>
      </w:r>
      <w:r w:rsidRPr="00F0673F">
        <w:rPr>
          <w:i/>
          <w:sz w:val="20"/>
          <w:szCs w:val="20"/>
        </w:rPr>
        <w:t>Issues Paper: The Sexual and Reproductive Rights of Women and Girls with Disabilities</w:t>
      </w:r>
      <w:r w:rsidRPr="00F0673F">
        <w:rPr>
          <w:sz w:val="20"/>
          <w:szCs w:val="20"/>
        </w:rPr>
        <w:t xml:space="preserve"> 6 (2013), </w:t>
      </w:r>
      <w:r w:rsidRPr="00F0673F">
        <w:rPr>
          <w:i/>
          <w:sz w:val="20"/>
          <w:szCs w:val="20"/>
        </w:rPr>
        <w:t>available at</w:t>
      </w:r>
      <w:r w:rsidRPr="00F0673F">
        <w:rPr>
          <w:sz w:val="20"/>
          <w:szCs w:val="20"/>
        </w:rPr>
        <w:t xml:space="preserve"> http://womenenabled.org/pdfs/issues_paper_srr_women_and_girls_with_disabilities_final.pdf.</w:t>
      </w:r>
    </w:p>
  </w:endnote>
  <w:endnote w:id="59">
    <w:p w14:paraId="480B82D8" w14:textId="760C9E5E" w:rsidR="00C937A5" w:rsidRPr="00F0673F" w:rsidRDefault="00C937A5" w:rsidP="00255789">
      <w:pPr>
        <w:pStyle w:val="EndnoteText"/>
        <w:jc w:val="left"/>
        <w:rPr>
          <w:color w:val="000000" w:themeColor="text1"/>
          <w:sz w:val="20"/>
          <w:szCs w:val="20"/>
        </w:rPr>
      </w:pPr>
      <w:r w:rsidRPr="00F0673F">
        <w:rPr>
          <w:rStyle w:val="EndnoteReference"/>
          <w:color w:val="000000" w:themeColor="text1"/>
          <w:sz w:val="20"/>
          <w:szCs w:val="20"/>
        </w:rPr>
        <w:endnoteRef/>
      </w:r>
      <w:r w:rsidRPr="00F0673F">
        <w:rPr>
          <w:color w:val="000000" w:themeColor="text1"/>
          <w:sz w:val="20"/>
          <w:szCs w:val="20"/>
        </w:rPr>
        <w:t xml:space="preserve"> J. Maxwell, J. Watts </w:t>
      </w:r>
      <w:proofErr w:type="spellStart"/>
      <w:r w:rsidRPr="00F0673F">
        <w:rPr>
          <w:color w:val="000000" w:themeColor="text1"/>
          <w:sz w:val="20"/>
          <w:szCs w:val="20"/>
        </w:rPr>
        <w:t>Belser</w:t>
      </w:r>
      <w:proofErr w:type="spellEnd"/>
      <w:r w:rsidRPr="00F0673F">
        <w:rPr>
          <w:color w:val="000000" w:themeColor="text1"/>
          <w:sz w:val="20"/>
          <w:szCs w:val="20"/>
        </w:rPr>
        <w:t xml:space="preserve">, D. David, </w:t>
      </w:r>
      <w:r w:rsidRPr="00F0673F">
        <w:rPr>
          <w:i/>
          <w:color w:val="000000" w:themeColor="text1"/>
          <w:sz w:val="20"/>
          <w:szCs w:val="20"/>
        </w:rPr>
        <w:t xml:space="preserve">Hesperian Foundation, A Health Handbook for Women with Disabilities </w:t>
      </w:r>
      <w:r w:rsidRPr="00F0673F">
        <w:rPr>
          <w:color w:val="000000" w:themeColor="text1"/>
          <w:sz w:val="20"/>
          <w:szCs w:val="20"/>
        </w:rPr>
        <w:t xml:space="preserve">2 (2007), </w:t>
      </w:r>
      <w:r w:rsidRPr="00F0673F">
        <w:rPr>
          <w:i/>
          <w:color w:val="000000" w:themeColor="text1"/>
          <w:sz w:val="20"/>
          <w:szCs w:val="20"/>
        </w:rPr>
        <w:t xml:space="preserve">available at: </w:t>
      </w:r>
      <w:hyperlink r:id="rId4" w:history="1">
        <w:r w:rsidRPr="00F0673F">
          <w:rPr>
            <w:rStyle w:val="Hyperlink"/>
            <w:color w:val="000000" w:themeColor="text1"/>
            <w:sz w:val="20"/>
            <w:szCs w:val="20"/>
          </w:rPr>
          <w:t>http://hesperian.org/books-and-resources/#</w:t>
        </w:r>
      </w:hyperlink>
      <w:r w:rsidRPr="00F0673F">
        <w:rPr>
          <w:color w:val="000000" w:themeColor="text1"/>
          <w:sz w:val="20"/>
          <w:szCs w:val="20"/>
        </w:rPr>
        <w:t xml:space="preserve">. </w:t>
      </w:r>
    </w:p>
  </w:endnote>
  <w:endnote w:id="60">
    <w:p w14:paraId="7CA7844A" w14:textId="77777777" w:rsidR="00C937A5" w:rsidRPr="00F0673F" w:rsidRDefault="00C937A5" w:rsidP="00255789">
      <w:pPr>
        <w:pStyle w:val="EndnoteText"/>
        <w:jc w:val="left"/>
        <w:rPr>
          <w:color w:val="000000" w:themeColor="text1"/>
          <w:sz w:val="20"/>
          <w:szCs w:val="20"/>
        </w:rPr>
      </w:pPr>
      <w:r w:rsidRPr="00F0673F">
        <w:rPr>
          <w:rStyle w:val="EndnoteReference"/>
          <w:color w:val="000000" w:themeColor="text1"/>
          <w:sz w:val="20"/>
          <w:szCs w:val="20"/>
        </w:rPr>
        <w:endnoteRef/>
      </w:r>
      <w:r w:rsidRPr="00F0673F">
        <w:rPr>
          <w:color w:val="000000" w:themeColor="text1"/>
          <w:sz w:val="20"/>
          <w:szCs w:val="20"/>
        </w:rPr>
        <w:t xml:space="preserve">  </w:t>
      </w:r>
      <w:r w:rsidRPr="00F0673F">
        <w:rPr>
          <w:i/>
          <w:color w:val="000000" w:themeColor="text1"/>
          <w:sz w:val="20"/>
          <w:szCs w:val="20"/>
        </w:rPr>
        <w:t>Id.</w:t>
      </w:r>
    </w:p>
  </w:endnote>
  <w:endnote w:id="61">
    <w:p w14:paraId="418AF355" w14:textId="77777777" w:rsidR="00C937A5" w:rsidRPr="00F0673F" w:rsidRDefault="00C937A5" w:rsidP="00255789">
      <w:pPr>
        <w:pStyle w:val="EndnoteText"/>
        <w:jc w:val="left"/>
        <w:rPr>
          <w:color w:val="000000" w:themeColor="text1"/>
          <w:sz w:val="20"/>
          <w:szCs w:val="20"/>
        </w:rPr>
      </w:pPr>
      <w:r w:rsidRPr="00F0673F">
        <w:rPr>
          <w:rStyle w:val="EndnoteReference"/>
          <w:color w:val="000000" w:themeColor="text1"/>
          <w:sz w:val="20"/>
          <w:szCs w:val="20"/>
        </w:rPr>
        <w:endnoteRef/>
      </w:r>
      <w:r w:rsidRPr="00F0673F">
        <w:rPr>
          <w:color w:val="000000" w:themeColor="text1"/>
          <w:sz w:val="20"/>
          <w:szCs w:val="20"/>
        </w:rPr>
        <w:t xml:space="preserve"> Convention on the Rights of Persons with Disabilities, G.A. Res. 61/106, U.N. Doc. A/RES/61/106, para</w:t>
      </w:r>
      <w:proofErr w:type="gramStart"/>
      <w:r w:rsidRPr="00F0673F">
        <w:rPr>
          <w:color w:val="000000" w:themeColor="text1"/>
          <w:sz w:val="20"/>
          <w:szCs w:val="20"/>
        </w:rPr>
        <w:t>.(</w:t>
      </w:r>
      <w:proofErr w:type="gramEnd"/>
      <w:r w:rsidRPr="00F0673F">
        <w:rPr>
          <w:color w:val="000000" w:themeColor="text1"/>
          <w:sz w:val="20"/>
          <w:szCs w:val="20"/>
        </w:rPr>
        <w:t xml:space="preserve">e) (Dec. 13, 2006), </w:t>
      </w:r>
      <w:r w:rsidRPr="00F0673F">
        <w:rPr>
          <w:i/>
          <w:iCs/>
          <w:color w:val="000000" w:themeColor="text1"/>
          <w:sz w:val="20"/>
          <w:szCs w:val="20"/>
        </w:rPr>
        <w:t xml:space="preserve">available at </w:t>
      </w:r>
      <w:hyperlink r:id="rId5" w:history="1">
        <w:r w:rsidRPr="00F0673F">
          <w:rPr>
            <w:rStyle w:val="Hyperlink"/>
            <w:color w:val="000000" w:themeColor="text1"/>
            <w:sz w:val="20"/>
            <w:szCs w:val="20"/>
          </w:rPr>
          <w:t>http://www.unhcr.org/refworld/docid/45f973632.html</w:t>
        </w:r>
      </w:hyperlink>
      <w:r w:rsidRPr="00F0673F">
        <w:rPr>
          <w:color w:val="000000" w:themeColor="text1"/>
          <w:sz w:val="20"/>
          <w:szCs w:val="20"/>
        </w:rPr>
        <w:t xml:space="preserve"> [hereinafter CRPD].</w:t>
      </w:r>
    </w:p>
  </w:endnote>
  <w:endnote w:id="62">
    <w:p w14:paraId="15FE2A0B" w14:textId="4CE217F4" w:rsidR="00C937A5" w:rsidRPr="00F0673F" w:rsidRDefault="00C937A5" w:rsidP="00255789">
      <w:pPr>
        <w:widowControl w:val="0"/>
        <w:numPr>
          <w:ilvl w:val="0"/>
          <w:numId w:val="34"/>
        </w:numPr>
        <w:tabs>
          <w:tab w:val="left" w:pos="0"/>
          <w:tab w:val="left" w:pos="220"/>
        </w:tabs>
        <w:autoSpaceDE w:val="0"/>
        <w:autoSpaceDN w:val="0"/>
        <w:adjustRightInd w:val="0"/>
        <w:ind w:left="0" w:firstLine="0"/>
        <w:rPr>
          <w:sz w:val="20"/>
          <w:szCs w:val="20"/>
        </w:rPr>
      </w:pPr>
      <w:r w:rsidRPr="00F0673F">
        <w:rPr>
          <w:rStyle w:val="EndnoteReference"/>
          <w:sz w:val="20"/>
          <w:szCs w:val="20"/>
        </w:rPr>
        <w:endnoteRef/>
      </w:r>
      <w:r w:rsidRPr="00F0673F">
        <w:rPr>
          <w:sz w:val="20"/>
          <w:szCs w:val="20"/>
        </w:rPr>
        <w:t xml:space="preserve"> </w:t>
      </w:r>
      <w:r w:rsidRPr="00F0673F">
        <w:rPr>
          <w:i/>
          <w:iCs/>
          <w:sz w:val="20"/>
          <w:szCs w:val="20"/>
        </w:rPr>
        <w:t xml:space="preserve">See </w:t>
      </w:r>
      <w:r w:rsidRPr="00F0673F">
        <w:rPr>
          <w:sz w:val="20"/>
          <w:szCs w:val="20"/>
        </w:rPr>
        <w:t xml:space="preserve">WHO and UNFPA, </w:t>
      </w:r>
      <w:r w:rsidRPr="00F0673F">
        <w:rPr>
          <w:i/>
          <w:sz w:val="20"/>
          <w:szCs w:val="20"/>
        </w:rPr>
        <w:t>Promoting Sexual and Reproductive Health for Persons with Disabilities: WHO/UNFPA Guidance Note</w:t>
      </w:r>
      <w:r>
        <w:rPr>
          <w:sz w:val="20"/>
          <w:szCs w:val="20"/>
        </w:rPr>
        <w:t xml:space="preserve"> 6-7 (2009).</w:t>
      </w:r>
    </w:p>
  </w:endnote>
  <w:endnote w:id="63">
    <w:p w14:paraId="3E0C09DB" w14:textId="522D94A1"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proofErr w:type="spellStart"/>
      <w:r w:rsidRPr="00F0673F">
        <w:rPr>
          <w:rFonts w:eastAsia="Cambria"/>
          <w:smallCaps/>
          <w:sz w:val="20"/>
          <w:szCs w:val="20"/>
        </w:rPr>
        <w:t>Profamilia</w:t>
      </w:r>
      <w:proofErr w:type="spellEnd"/>
      <w:r w:rsidRPr="00F0673F">
        <w:rPr>
          <w:rFonts w:eastAsia="Cambria"/>
          <w:smallCaps/>
          <w:sz w:val="20"/>
          <w:szCs w:val="20"/>
        </w:rPr>
        <w:t xml:space="preserve">, </w:t>
      </w:r>
      <w:proofErr w:type="spellStart"/>
      <w:r w:rsidRPr="00F0673F">
        <w:rPr>
          <w:rFonts w:eastAsia="Cambria"/>
          <w:smallCaps/>
          <w:sz w:val="20"/>
          <w:szCs w:val="20"/>
        </w:rPr>
        <w:t>Asdown</w:t>
      </w:r>
      <w:proofErr w:type="spellEnd"/>
      <w:r w:rsidRPr="00F0673F">
        <w:rPr>
          <w:rFonts w:eastAsia="Cambria"/>
          <w:smallCaps/>
          <w:sz w:val="20"/>
          <w:szCs w:val="20"/>
        </w:rPr>
        <w:t xml:space="preserve"> Fundamental Colombia, PAIIS, Universidad de </w:t>
      </w:r>
      <w:proofErr w:type="spellStart"/>
      <w:r w:rsidRPr="00F0673F">
        <w:rPr>
          <w:rFonts w:eastAsia="Cambria"/>
          <w:smallCaps/>
          <w:sz w:val="20"/>
          <w:szCs w:val="20"/>
        </w:rPr>
        <w:t>los</w:t>
      </w:r>
      <w:proofErr w:type="spellEnd"/>
      <w:r w:rsidRPr="00F0673F">
        <w:rPr>
          <w:rFonts w:eastAsia="Cambria"/>
          <w:smallCaps/>
          <w:sz w:val="20"/>
          <w:szCs w:val="20"/>
        </w:rPr>
        <w:t xml:space="preserve"> Andes, </w:t>
      </w:r>
      <w:proofErr w:type="spellStart"/>
      <w:r w:rsidRPr="00F0673F">
        <w:rPr>
          <w:rFonts w:eastAsia="Cambria"/>
          <w:smallCaps/>
          <w:sz w:val="20"/>
          <w:szCs w:val="20"/>
        </w:rPr>
        <w:t>Servicios</w:t>
      </w:r>
      <w:proofErr w:type="spellEnd"/>
      <w:r w:rsidRPr="00F0673F">
        <w:rPr>
          <w:rFonts w:eastAsia="Cambria"/>
          <w:smallCaps/>
          <w:sz w:val="20"/>
          <w:szCs w:val="20"/>
        </w:rPr>
        <w:t xml:space="preserve"> de </w:t>
      </w:r>
      <w:proofErr w:type="spellStart"/>
      <w:r w:rsidRPr="00F0673F">
        <w:rPr>
          <w:rFonts w:eastAsia="Cambria"/>
          <w:smallCaps/>
          <w:sz w:val="20"/>
          <w:szCs w:val="20"/>
        </w:rPr>
        <w:t>sal</w:t>
      </w:r>
      <w:r>
        <w:rPr>
          <w:rFonts w:eastAsia="Cambria"/>
          <w:smallCaps/>
          <w:sz w:val="20"/>
          <w:szCs w:val="20"/>
        </w:rPr>
        <w:t>ud</w:t>
      </w:r>
      <w:proofErr w:type="spellEnd"/>
      <w:r>
        <w:rPr>
          <w:rFonts w:eastAsia="Cambria"/>
          <w:smallCaps/>
          <w:sz w:val="20"/>
          <w:szCs w:val="20"/>
        </w:rPr>
        <w:t xml:space="preserve"> sexual y </w:t>
      </w:r>
      <w:proofErr w:type="spellStart"/>
      <w:r>
        <w:rPr>
          <w:rFonts w:eastAsia="Cambria"/>
          <w:smallCaps/>
          <w:sz w:val="20"/>
          <w:szCs w:val="20"/>
        </w:rPr>
        <w:t>salud</w:t>
      </w:r>
      <w:proofErr w:type="spellEnd"/>
      <w:r>
        <w:rPr>
          <w:rFonts w:eastAsia="Cambria"/>
          <w:smallCaps/>
          <w:sz w:val="20"/>
          <w:szCs w:val="20"/>
        </w:rPr>
        <w:t xml:space="preserve"> </w:t>
      </w:r>
      <w:proofErr w:type="spellStart"/>
      <w:r>
        <w:rPr>
          <w:rFonts w:eastAsia="Cambria"/>
          <w:smallCaps/>
          <w:sz w:val="20"/>
          <w:szCs w:val="20"/>
        </w:rPr>
        <w:t>reproductiva</w:t>
      </w:r>
      <w:proofErr w:type="spellEnd"/>
      <w:r>
        <w:rPr>
          <w:rFonts w:eastAsia="Cambria"/>
          <w:smallCaps/>
          <w:sz w:val="20"/>
          <w:szCs w:val="20"/>
        </w:rPr>
        <w:t xml:space="preserve">: </w:t>
      </w:r>
      <w:r w:rsidRPr="00F0673F">
        <w:rPr>
          <w:rFonts w:eastAsia="Cambria"/>
          <w:smallCaps/>
          <w:sz w:val="20"/>
          <w:szCs w:val="20"/>
        </w:rPr>
        <w:t xml:space="preserve">Manual para </w:t>
      </w:r>
      <w:proofErr w:type="spellStart"/>
      <w:r w:rsidRPr="00F0673F">
        <w:rPr>
          <w:rFonts w:eastAsia="Cambria"/>
          <w:smallCaps/>
          <w:sz w:val="20"/>
          <w:szCs w:val="20"/>
        </w:rPr>
        <w:t>prestadores</w:t>
      </w:r>
      <w:proofErr w:type="spellEnd"/>
      <w:r w:rsidRPr="00F0673F">
        <w:rPr>
          <w:rFonts w:eastAsia="Cambria"/>
          <w:smallCaps/>
          <w:sz w:val="20"/>
          <w:szCs w:val="20"/>
        </w:rPr>
        <w:t xml:space="preserve"> de </w:t>
      </w:r>
      <w:proofErr w:type="spellStart"/>
      <w:r w:rsidRPr="00F0673F">
        <w:rPr>
          <w:rFonts w:eastAsia="Cambria"/>
          <w:smallCaps/>
          <w:sz w:val="20"/>
          <w:szCs w:val="20"/>
        </w:rPr>
        <w:t>servicios</w:t>
      </w:r>
      <w:proofErr w:type="spellEnd"/>
      <w:r w:rsidRPr="00F0673F">
        <w:rPr>
          <w:sz w:val="20"/>
          <w:szCs w:val="20"/>
        </w:rPr>
        <w:t xml:space="preserve"> </w:t>
      </w:r>
      <w:r>
        <w:rPr>
          <w:sz w:val="20"/>
          <w:szCs w:val="20"/>
        </w:rPr>
        <w:t>(</w:t>
      </w:r>
      <w:r w:rsidRPr="00F0673F">
        <w:rPr>
          <w:sz w:val="20"/>
          <w:szCs w:val="20"/>
        </w:rPr>
        <w:t>2014</w:t>
      </w:r>
      <w:r>
        <w:rPr>
          <w:sz w:val="20"/>
          <w:szCs w:val="20"/>
        </w:rPr>
        <w:t>)</w:t>
      </w:r>
      <w:r w:rsidRPr="00F0673F">
        <w:rPr>
          <w:sz w:val="20"/>
          <w:szCs w:val="20"/>
        </w:rPr>
        <w:t>.</w:t>
      </w:r>
    </w:p>
  </w:endnote>
  <w:endnote w:id="64">
    <w:p w14:paraId="621937AB" w14:textId="27CD550E"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Testimony of </w:t>
      </w:r>
      <w:proofErr w:type="spellStart"/>
      <w:r w:rsidRPr="00F0673F">
        <w:rPr>
          <w:sz w:val="20"/>
          <w:szCs w:val="20"/>
        </w:rPr>
        <w:t>Bubulina</w:t>
      </w:r>
      <w:proofErr w:type="spellEnd"/>
      <w:r w:rsidRPr="00F0673F">
        <w:rPr>
          <w:sz w:val="20"/>
          <w:szCs w:val="20"/>
        </w:rPr>
        <w:t xml:space="preserve"> Moreno, on file with authors.</w:t>
      </w:r>
    </w:p>
  </w:endnote>
  <w:endnote w:id="65">
    <w:p w14:paraId="79FFF7F1" w14:textId="0805C3AB"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Pr="00867EE0">
        <w:rPr>
          <w:i/>
          <w:iCs/>
          <w:sz w:val="20"/>
          <w:szCs w:val="20"/>
        </w:rPr>
        <w:t>General Comment No. 14: The right to the highest attainable standard of health</w:t>
      </w:r>
      <w:r w:rsidRPr="00867EE0">
        <w:rPr>
          <w:sz w:val="20"/>
          <w:szCs w:val="20"/>
        </w:rPr>
        <w:t xml:space="preserve">, </w:t>
      </w:r>
      <w:r>
        <w:rPr>
          <w:sz w:val="20"/>
          <w:szCs w:val="20"/>
        </w:rPr>
        <w:t>¶</w:t>
      </w:r>
      <w:r w:rsidRPr="00867EE0">
        <w:rPr>
          <w:sz w:val="20"/>
          <w:szCs w:val="20"/>
        </w:rPr>
        <w:t xml:space="preserve"> 12 (2000), U.N. Doc. HRI/GEN/1/Rev.9 (Vol. I), at 78 (2008)</w:t>
      </w:r>
      <w:r>
        <w:rPr>
          <w:sz w:val="20"/>
          <w:szCs w:val="20"/>
        </w:rPr>
        <w:t>;</w:t>
      </w:r>
      <w:r w:rsidRPr="00C937A5">
        <w:rPr>
          <w:sz w:val="20"/>
          <w:szCs w:val="20"/>
        </w:rPr>
        <w:t xml:space="preserve"> </w:t>
      </w:r>
      <w:r w:rsidRPr="00F0673F">
        <w:rPr>
          <w:sz w:val="20"/>
          <w:szCs w:val="20"/>
        </w:rPr>
        <w:t>ESCR Committee,</w:t>
      </w:r>
      <w:r w:rsidRPr="00F0673F">
        <w:rPr>
          <w:i/>
          <w:sz w:val="20"/>
          <w:szCs w:val="20"/>
        </w:rPr>
        <w:t xml:space="preserve"> General Comment No. 22: the right to sexual and reproductive health</w:t>
      </w:r>
      <w:r w:rsidRPr="00F0673F">
        <w:rPr>
          <w:sz w:val="20"/>
          <w:szCs w:val="20"/>
        </w:rPr>
        <w:t>, ¶</w:t>
      </w:r>
      <w:r>
        <w:rPr>
          <w:sz w:val="20"/>
          <w:szCs w:val="20"/>
        </w:rPr>
        <w:t>¶</w:t>
      </w:r>
      <w:r w:rsidRPr="00F0673F">
        <w:rPr>
          <w:sz w:val="20"/>
          <w:szCs w:val="20"/>
        </w:rPr>
        <w:t xml:space="preserve"> 1</w:t>
      </w:r>
      <w:r>
        <w:rPr>
          <w:sz w:val="20"/>
          <w:szCs w:val="20"/>
        </w:rPr>
        <w:t>2-21</w:t>
      </w:r>
      <w:r w:rsidRPr="00F0673F">
        <w:rPr>
          <w:sz w:val="20"/>
          <w:szCs w:val="20"/>
        </w:rPr>
        <w:t>, U.N. Doc. E/C.12/GC/22 (2016).</w:t>
      </w:r>
    </w:p>
  </w:endnote>
  <w:endnote w:id="66">
    <w:p w14:paraId="5F238324" w14:textId="22FBE7E2"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ESCR Committee,</w:t>
      </w:r>
      <w:r w:rsidRPr="00F0673F">
        <w:rPr>
          <w:i/>
          <w:sz w:val="20"/>
          <w:szCs w:val="20"/>
        </w:rPr>
        <w:t xml:space="preserve"> General Comment No. 22: the right to sexual and reproductive health</w:t>
      </w:r>
      <w:r>
        <w:rPr>
          <w:sz w:val="20"/>
          <w:szCs w:val="20"/>
        </w:rPr>
        <w:t>, ¶</w:t>
      </w:r>
      <w:r w:rsidRPr="00F0673F">
        <w:rPr>
          <w:sz w:val="20"/>
          <w:szCs w:val="20"/>
        </w:rPr>
        <w:t xml:space="preserve"> </w:t>
      </w:r>
      <w:r>
        <w:rPr>
          <w:sz w:val="20"/>
          <w:szCs w:val="20"/>
        </w:rPr>
        <w:t>20</w:t>
      </w:r>
      <w:r w:rsidRPr="00F0673F">
        <w:rPr>
          <w:sz w:val="20"/>
          <w:szCs w:val="20"/>
        </w:rPr>
        <w:t>, U.N. Doc. E/C.12/GC/22 (2016).</w:t>
      </w:r>
    </w:p>
  </w:endnote>
  <w:endnote w:id="67">
    <w:p w14:paraId="5E66CE9F" w14:textId="0DF17B28" w:rsidR="00C937A5" w:rsidRPr="00F0673F" w:rsidRDefault="00C937A5" w:rsidP="00255789">
      <w:pPr>
        <w:pStyle w:val="EndnoteText"/>
        <w:jc w:val="left"/>
        <w:rPr>
          <w:sz w:val="20"/>
          <w:szCs w:val="20"/>
        </w:rPr>
      </w:pPr>
      <w:r w:rsidRPr="00F0673F">
        <w:rPr>
          <w:rStyle w:val="EndnoteReference"/>
          <w:sz w:val="20"/>
          <w:szCs w:val="20"/>
        </w:rPr>
        <w:endnoteRef/>
      </w:r>
      <w:r>
        <w:rPr>
          <w:i/>
          <w:sz w:val="20"/>
          <w:szCs w:val="20"/>
        </w:rPr>
        <w:t>Id.</w:t>
      </w:r>
      <w:r w:rsidRPr="00F0673F">
        <w:rPr>
          <w:sz w:val="20"/>
          <w:szCs w:val="20"/>
        </w:rPr>
        <w:t xml:space="preserve">, </w:t>
      </w:r>
      <w:r>
        <w:rPr>
          <w:sz w:val="20"/>
          <w:szCs w:val="20"/>
        </w:rPr>
        <w:t>¶</w:t>
      </w:r>
      <w:r w:rsidRPr="00F0673F">
        <w:rPr>
          <w:sz w:val="20"/>
          <w:szCs w:val="20"/>
        </w:rPr>
        <w:t xml:space="preserve"> 48.</w:t>
      </w:r>
    </w:p>
  </w:endnote>
  <w:endnote w:id="68">
    <w:p w14:paraId="654E25F8" w14:textId="3A21B391"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Pr>
          <w:i/>
          <w:sz w:val="20"/>
          <w:szCs w:val="20"/>
        </w:rPr>
        <w:t xml:space="preserve"> to</w:t>
      </w:r>
      <w:r w:rsidRPr="00F0673F">
        <w:rPr>
          <w:i/>
          <w:sz w:val="20"/>
          <w:szCs w:val="20"/>
        </w:rPr>
        <w:t>: Montenegro</w:t>
      </w:r>
      <w:r w:rsidRPr="00F0673F">
        <w:rPr>
          <w:sz w:val="20"/>
          <w:szCs w:val="20"/>
        </w:rPr>
        <w:t xml:space="preserve">, </w:t>
      </w:r>
      <w:r w:rsidRPr="00F0673F">
        <w:rPr>
          <w:b/>
          <w:sz w:val="20"/>
          <w:szCs w:val="20"/>
        </w:rPr>
        <w:t>¶</w:t>
      </w:r>
      <w:r w:rsidRPr="00F0673F">
        <w:rPr>
          <w:sz w:val="20"/>
          <w:szCs w:val="20"/>
        </w:rPr>
        <w:t xml:space="preserve"> 24, U.N. Doc. </w:t>
      </w:r>
      <w:r w:rsidRPr="00F0673F">
        <w:rPr>
          <w:bCs/>
          <w:sz w:val="20"/>
          <w:szCs w:val="20"/>
          <w:lang w:val="en-GB"/>
        </w:rPr>
        <w:t xml:space="preserve">E/C.12/MNE/CO/1 (2014); </w:t>
      </w:r>
      <w:r w:rsidRPr="00F0673F">
        <w:rPr>
          <w:bCs/>
          <w:i/>
          <w:sz w:val="20"/>
          <w:szCs w:val="20"/>
          <w:lang w:val="en-GB"/>
        </w:rPr>
        <w:t>Bosnia and Herzegovina</w:t>
      </w:r>
      <w:r w:rsidRPr="00F0673F">
        <w:rPr>
          <w:bCs/>
          <w:sz w:val="20"/>
          <w:szCs w:val="20"/>
          <w:lang w:val="en-GB"/>
        </w:rPr>
        <w:t xml:space="preserve">, </w:t>
      </w:r>
      <w:r w:rsidRPr="00F0673F">
        <w:rPr>
          <w:b/>
          <w:sz w:val="20"/>
          <w:szCs w:val="20"/>
        </w:rPr>
        <w:t>¶</w:t>
      </w:r>
      <w:r w:rsidRPr="00F0673F">
        <w:rPr>
          <w:sz w:val="20"/>
          <w:szCs w:val="20"/>
        </w:rPr>
        <w:t xml:space="preserve"> 32</w:t>
      </w:r>
      <w:r w:rsidRPr="00F0673F">
        <w:rPr>
          <w:bCs/>
          <w:sz w:val="20"/>
          <w:szCs w:val="20"/>
          <w:lang w:val="en-GB"/>
        </w:rPr>
        <w:t xml:space="preserve">, U.N. Doc. </w:t>
      </w:r>
      <w:r w:rsidRPr="00F0673F">
        <w:rPr>
          <w:bCs/>
          <w:sz w:val="20"/>
          <w:szCs w:val="20"/>
        </w:rPr>
        <w:t>E/C.12/BIH/CO/2 (2013).</w:t>
      </w:r>
    </w:p>
  </w:endnote>
  <w:endnote w:id="69">
    <w:p w14:paraId="3CAC9BC1" w14:textId="39F297C5"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Pr>
          <w:i/>
          <w:sz w:val="20"/>
          <w:szCs w:val="20"/>
        </w:rPr>
        <w:t xml:space="preserve"> to</w:t>
      </w:r>
      <w:r w:rsidRPr="00F0673F">
        <w:rPr>
          <w:i/>
          <w:sz w:val="20"/>
          <w:szCs w:val="20"/>
        </w:rPr>
        <w:t xml:space="preserve">: </w:t>
      </w:r>
      <w:r w:rsidRPr="00F0673F">
        <w:rPr>
          <w:rFonts w:eastAsia="MS Mincho"/>
          <w:bCs/>
          <w:i/>
          <w:sz w:val="20"/>
          <w:szCs w:val="20"/>
          <w:lang w:val="en-GB"/>
        </w:rPr>
        <w:t>Azerbaijan</w:t>
      </w:r>
      <w:r w:rsidRPr="00F0673F">
        <w:rPr>
          <w:rFonts w:eastAsia="MS Mincho"/>
          <w:bCs/>
          <w:sz w:val="20"/>
          <w:szCs w:val="20"/>
          <w:lang w:val="en-GB"/>
        </w:rPr>
        <w:t xml:space="preserve">, </w:t>
      </w:r>
      <w:r w:rsidRPr="00F0673F">
        <w:rPr>
          <w:b/>
          <w:sz w:val="20"/>
          <w:szCs w:val="20"/>
        </w:rPr>
        <w:t>¶</w:t>
      </w:r>
      <w:r w:rsidRPr="00F0673F">
        <w:rPr>
          <w:sz w:val="20"/>
          <w:szCs w:val="20"/>
        </w:rPr>
        <w:t xml:space="preserve"> 16, </w:t>
      </w:r>
      <w:r w:rsidRPr="00F0673F">
        <w:rPr>
          <w:rFonts w:eastAsia="MS Mincho"/>
          <w:bCs/>
          <w:sz w:val="20"/>
          <w:szCs w:val="20"/>
          <w:lang w:val="en-GB"/>
        </w:rPr>
        <w:t xml:space="preserve">U.N. Doc. </w:t>
      </w:r>
      <w:r w:rsidRPr="00F0673F">
        <w:rPr>
          <w:bCs/>
          <w:sz w:val="20"/>
          <w:szCs w:val="20"/>
          <w:lang w:val="en-GB"/>
        </w:rPr>
        <w:t xml:space="preserve">E/C.12/AZE/CO/3 (2013); </w:t>
      </w:r>
      <w:r w:rsidRPr="00F0673F">
        <w:rPr>
          <w:bCs/>
          <w:i/>
          <w:sz w:val="20"/>
          <w:szCs w:val="20"/>
          <w:lang w:val="en-GB"/>
        </w:rPr>
        <w:t>Bosnia and Herzegovina</w:t>
      </w:r>
      <w:r w:rsidRPr="00F0673F">
        <w:rPr>
          <w:bCs/>
          <w:sz w:val="20"/>
          <w:szCs w:val="20"/>
          <w:lang w:val="en-GB"/>
        </w:rPr>
        <w:t xml:space="preserve">, </w:t>
      </w:r>
      <w:r w:rsidRPr="00F0673F">
        <w:rPr>
          <w:b/>
          <w:sz w:val="20"/>
          <w:szCs w:val="20"/>
        </w:rPr>
        <w:t>¶</w:t>
      </w:r>
      <w:r w:rsidRPr="00F0673F">
        <w:rPr>
          <w:sz w:val="20"/>
          <w:szCs w:val="20"/>
        </w:rPr>
        <w:t xml:space="preserve"> 32</w:t>
      </w:r>
      <w:r w:rsidRPr="00F0673F">
        <w:rPr>
          <w:bCs/>
          <w:sz w:val="20"/>
          <w:szCs w:val="20"/>
          <w:lang w:val="en-GB"/>
        </w:rPr>
        <w:t xml:space="preserve">, U.N. Doc. </w:t>
      </w:r>
      <w:r w:rsidRPr="00F0673F">
        <w:rPr>
          <w:bCs/>
          <w:sz w:val="20"/>
          <w:szCs w:val="20"/>
        </w:rPr>
        <w:t xml:space="preserve">E/C.12/BIH/CO/2 (2013); </w:t>
      </w:r>
      <w:r w:rsidRPr="00F0673F">
        <w:rPr>
          <w:bCs/>
          <w:i/>
          <w:sz w:val="20"/>
          <w:szCs w:val="20"/>
        </w:rPr>
        <w:t>Israel</w:t>
      </w:r>
      <w:r w:rsidRPr="00F0673F">
        <w:rPr>
          <w:bCs/>
          <w:sz w:val="20"/>
          <w:szCs w:val="20"/>
        </w:rPr>
        <w:t xml:space="preserve">, </w:t>
      </w:r>
      <w:r w:rsidRPr="00F0673F">
        <w:rPr>
          <w:b/>
          <w:sz w:val="20"/>
          <w:szCs w:val="20"/>
        </w:rPr>
        <w:t>¶</w:t>
      </w:r>
      <w:r w:rsidRPr="00F0673F">
        <w:rPr>
          <w:sz w:val="20"/>
          <w:szCs w:val="20"/>
        </w:rPr>
        <w:t xml:space="preserve"> 19</w:t>
      </w:r>
      <w:r w:rsidRPr="00F0673F">
        <w:rPr>
          <w:bCs/>
          <w:sz w:val="20"/>
          <w:szCs w:val="20"/>
        </w:rPr>
        <w:t xml:space="preserve">, U.N. Doc. </w:t>
      </w:r>
      <w:r w:rsidRPr="00F0673F">
        <w:rPr>
          <w:bCs/>
          <w:sz w:val="20"/>
          <w:szCs w:val="20"/>
          <w:lang w:val="en-GB"/>
        </w:rPr>
        <w:t xml:space="preserve">E/C.12/ISR/CO/3 (2011); </w:t>
      </w:r>
      <w:r w:rsidRPr="00F0673F">
        <w:rPr>
          <w:bCs/>
          <w:i/>
          <w:sz w:val="20"/>
          <w:szCs w:val="20"/>
          <w:lang w:val="en-GB"/>
        </w:rPr>
        <w:t>Ecuador</w:t>
      </w:r>
      <w:r w:rsidRPr="00F0673F">
        <w:rPr>
          <w:bCs/>
          <w:sz w:val="20"/>
          <w:szCs w:val="20"/>
          <w:lang w:val="en-GB"/>
        </w:rPr>
        <w:t xml:space="preserve">, </w:t>
      </w:r>
      <w:r w:rsidRPr="00F0673F">
        <w:rPr>
          <w:b/>
          <w:sz w:val="20"/>
          <w:szCs w:val="20"/>
        </w:rPr>
        <w:t>¶</w:t>
      </w:r>
      <w:r w:rsidRPr="00F0673F">
        <w:rPr>
          <w:sz w:val="20"/>
          <w:szCs w:val="20"/>
        </w:rPr>
        <w:t xml:space="preserve"> 30</w:t>
      </w:r>
      <w:r w:rsidRPr="00F0673F">
        <w:rPr>
          <w:bCs/>
          <w:sz w:val="20"/>
          <w:szCs w:val="20"/>
          <w:lang w:val="en-GB"/>
        </w:rPr>
        <w:t xml:space="preserve">, U.N. Doc. </w:t>
      </w:r>
      <w:r w:rsidRPr="00F0673F">
        <w:rPr>
          <w:bCs/>
          <w:sz w:val="20"/>
          <w:szCs w:val="20"/>
        </w:rPr>
        <w:t xml:space="preserve">E/C.12/ECU/CO/3 (2012); </w:t>
      </w:r>
      <w:r w:rsidRPr="00F0673F">
        <w:rPr>
          <w:i/>
          <w:sz w:val="20"/>
          <w:szCs w:val="20"/>
        </w:rPr>
        <w:t>Kazakhstan</w:t>
      </w:r>
      <w:r w:rsidRPr="00F0673F">
        <w:rPr>
          <w:sz w:val="20"/>
          <w:szCs w:val="20"/>
        </w:rPr>
        <w:t xml:space="preserve">, </w:t>
      </w:r>
      <w:r w:rsidRPr="00F0673F">
        <w:rPr>
          <w:b/>
          <w:sz w:val="20"/>
          <w:szCs w:val="20"/>
        </w:rPr>
        <w:t>¶</w:t>
      </w:r>
      <w:r w:rsidRPr="00F0673F">
        <w:rPr>
          <w:sz w:val="20"/>
          <w:szCs w:val="20"/>
        </w:rPr>
        <w:t xml:space="preserve"> 33, U.N. Doc.</w:t>
      </w:r>
      <w:r w:rsidRPr="00F0673F">
        <w:rPr>
          <w:i/>
          <w:sz w:val="20"/>
          <w:szCs w:val="20"/>
        </w:rPr>
        <w:t xml:space="preserve"> </w:t>
      </w:r>
      <w:r w:rsidRPr="00F0673F">
        <w:rPr>
          <w:bCs/>
          <w:sz w:val="20"/>
          <w:szCs w:val="20"/>
          <w:lang w:val="en-GB"/>
        </w:rPr>
        <w:t>E/C.12/KAZ/CO/1 (2010);</w:t>
      </w:r>
      <w:r w:rsidRPr="00F0673F">
        <w:rPr>
          <w:i/>
          <w:sz w:val="20"/>
          <w:szCs w:val="20"/>
        </w:rPr>
        <w:t xml:space="preserve"> Former Yugoslav Republic of Macedonia</w:t>
      </w:r>
      <w:r w:rsidRPr="00F0673F">
        <w:rPr>
          <w:sz w:val="20"/>
          <w:szCs w:val="20"/>
        </w:rPr>
        <w:t xml:space="preserve">, </w:t>
      </w:r>
      <w:r w:rsidRPr="00F0673F">
        <w:rPr>
          <w:b/>
          <w:sz w:val="20"/>
          <w:szCs w:val="20"/>
        </w:rPr>
        <w:t>¶</w:t>
      </w:r>
      <w:r w:rsidRPr="00F0673F">
        <w:rPr>
          <w:sz w:val="20"/>
          <w:szCs w:val="20"/>
        </w:rPr>
        <w:t xml:space="preserve"> 26</w:t>
      </w:r>
      <w:r w:rsidRPr="00F0673F">
        <w:rPr>
          <w:bCs/>
          <w:sz w:val="20"/>
          <w:szCs w:val="20"/>
          <w:lang w:val="en-GB"/>
        </w:rPr>
        <w:t xml:space="preserve">, </w:t>
      </w:r>
      <w:r w:rsidRPr="00F0673F">
        <w:rPr>
          <w:sz w:val="20"/>
          <w:szCs w:val="20"/>
        </w:rPr>
        <w:t xml:space="preserve">U.N. Doc. </w:t>
      </w:r>
      <w:r w:rsidRPr="00F0673F">
        <w:rPr>
          <w:bCs/>
          <w:sz w:val="20"/>
          <w:szCs w:val="20"/>
          <w:lang w:val="en-GB"/>
        </w:rPr>
        <w:t>E/C.12/MKD/CO/1 (2008);</w:t>
      </w:r>
      <w:r w:rsidRPr="00F0673F">
        <w:rPr>
          <w:sz w:val="20"/>
          <w:szCs w:val="20"/>
        </w:rPr>
        <w:t xml:space="preserve"> </w:t>
      </w:r>
      <w:r w:rsidRPr="00F0673F">
        <w:rPr>
          <w:bCs/>
          <w:i/>
          <w:sz w:val="20"/>
          <w:szCs w:val="20"/>
          <w:lang w:val="en-GB"/>
        </w:rPr>
        <w:t>Mexico</w:t>
      </w:r>
      <w:r w:rsidRPr="00F0673F">
        <w:rPr>
          <w:bCs/>
          <w:sz w:val="20"/>
          <w:szCs w:val="20"/>
          <w:lang w:val="en-GB"/>
        </w:rPr>
        <w:t xml:space="preserve">, </w:t>
      </w:r>
      <w:r w:rsidRPr="00F0673F">
        <w:rPr>
          <w:sz w:val="20"/>
          <w:szCs w:val="20"/>
        </w:rPr>
        <w:t>¶ 25</w:t>
      </w:r>
      <w:r w:rsidRPr="00F0673F">
        <w:rPr>
          <w:bCs/>
          <w:sz w:val="20"/>
          <w:szCs w:val="20"/>
          <w:lang w:val="en-GB"/>
        </w:rPr>
        <w:t xml:space="preserve">, U.N. Doc. </w:t>
      </w:r>
      <w:r w:rsidRPr="00F0673F">
        <w:rPr>
          <w:sz w:val="20"/>
          <w:szCs w:val="20"/>
        </w:rPr>
        <w:fldChar w:fldCharType="begin"/>
      </w:r>
      <w:r w:rsidRPr="00F0673F">
        <w:rPr>
          <w:sz w:val="20"/>
          <w:szCs w:val="20"/>
        </w:rPr>
        <w:instrText xml:space="preserve"> FILLIN "Symbol" \* MERGEFORMAT </w:instrText>
      </w:r>
      <w:r w:rsidRPr="00F0673F">
        <w:rPr>
          <w:sz w:val="20"/>
          <w:szCs w:val="20"/>
        </w:rPr>
        <w:fldChar w:fldCharType="separate"/>
      </w:r>
      <w:r w:rsidRPr="00F0673F">
        <w:rPr>
          <w:sz w:val="20"/>
          <w:szCs w:val="20"/>
        </w:rPr>
        <w:t>E/C.12/MEX/CO/4</w:t>
      </w:r>
      <w:r w:rsidRPr="00F0673F">
        <w:rPr>
          <w:sz w:val="20"/>
          <w:szCs w:val="20"/>
        </w:rPr>
        <w:fldChar w:fldCharType="end"/>
      </w:r>
      <w:r w:rsidRPr="00F0673F">
        <w:rPr>
          <w:sz w:val="20"/>
          <w:szCs w:val="20"/>
        </w:rPr>
        <w:t xml:space="preserve"> (2006);</w:t>
      </w:r>
      <w:r w:rsidRPr="00F0673F">
        <w:rPr>
          <w:bCs/>
          <w:sz w:val="20"/>
          <w:szCs w:val="20"/>
          <w:lang w:val="en-GB"/>
        </w:rPr>
        <w:t xml:space="preserve"> </w:t>
      </w:r>
      <w:r w:rsidRPr="00F0673F">
        <w:rPr>
          <w:i/>
          <w:sz w:val="20"/>
          <w:szCs w:val="20"/>
        </w:rPr>
        <w:t>Montenegro</w:t>
      </w:r>
      <w:r w:rsidRPr="00F0673F">
        <w:rPr>
          <w:sz w:val="20"/>
          <w:szCs w:val="20"/>
        </w:rPr>
        <w:t xml:space="preserve">, </w:t>
      </w:r>
      <w:r w:rsidRPr="00F0673F">
        <w:rPr>
          <w:b/>
          <w:sz w:val="20"/>
          <w:szCs w:val="20"/>
        </w:rPr>
        <w:t>¶</w:t>
      </w:r>
      <w:r w:rsidRPr="00F0673F">
        <w:rPr>
          <w:sz w:val="20"/>
          <w:szCs w:val="20"/>
        </w:rPr>
        <w:t xml:space="preserve"> 24, U.N. Doc. </w:t>
      </w:r>
      <w:r w:rsidRPr="00F0673F">
        <w:rPr>
          <w:bCs/>
          <w:sz w:val="20"/>
          <w:szCs w:val="20"/>
          <w:lang w:val="en-GB"/>
        </w:rPr>
        <w:t xml:space="preserve">E/C.12/MNE/CO/1 (2014); </w:t>
      </w:r>
      <w:r w:rsidRPr="00F0673F">
        <w:rPr>
          <w:bCs/>
          <w:i/>
          <w:sz w:val="20"/>
          <w:szCs w:val="20"/>
          <w:lang w:val="en-GB"/>
        </w:rPr>
        <w:t>Nepal</w:t>
      </w:r>
      <w:r w:rsidRPr="00F0673F">
        <w:rPr>
          <w:bCs/>
          <w:sz w:val="20"/>
          <w:szCs w:val="20"/>
          <w:lang w:val="en-GB"/>
        </w:rPr>
        <w:t xml:space="preserve">, </w:t>
      </w:r>
      <w:r w:rsidRPr="00F0673F">
        <w:rPr>
          <w:b/>
          <w:sz w:val="20"/>
          <w:szCs w:val="20"/>
        </w:rPr>
        <w:t>¶</w:t>
      </w:r>
      <w:r w:rsidRPr="00F0673F">
        <w:rPr>
          <w:sz w:val="20"/>
          <w:szCs w:val="20"/>
        </w:rPr>
        <w:t xml:space="preserve"> 26</w:t>
      </w:r>
      <w:r w:rsidRPr="00F0673F">
        <w:rPr>
          <w:bCs/>
          <w:sz w:val="20"/>
          <w:szCs w:val="20"/>
          <w:lang w:val="en-GB"/>
        </w:rPr>
        <w:t>, U.N. Doc. E/C.12/NPL/CO/2 (2008).</w:t>
      </w:r>
    </w:p>
  </w:endnote>
  <w:endnote w:id="70">
    <w:p w14:paraId="06173C65" w14:textId="3A4DBB0A"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bCs/>
          <w:i/>
          <w:sz w:val="20"/>
          <w:szCs w:val="20"/>
        </w:rPr>
        <w:t>Concluding Observations</w:t>
      </w:r>
      <w:r>
        <w:rPr>
          <w:bCs/>
          <w:i/>
          <w:sz w:val="20"/>
          <w:szCs w:val="20"/>
        </w:rPr>
        <w:t xml:space="preserve"> to</w:t>
      </w:r>
      <w:r w:rsidRPr="00F0673F">
        <w:rPr>
          <w:bCs/>
          <w:i/>
          <w:sz w:val="20"/>
          <w:szCs w:val="20"/>
        </w:rPr>
        <w:t>: Israel</w:t>
      </w:r>
      <w:r w:rsidRPr="00F0673F">
        <w:rPr>
          <w:bCs/>
          <w:sz w:val="20"/>
          <w:szCs w:val="20"/>
        </w:rPr>
        <w:t xml:space="preserve">, </w:t>
      </w:r>
      <w:r w:rsidRPr="00F0673F">
        <w:rPr>
          <w:b/>
          <w:sz w:val="20"/>
          <w:szCs w:val="20"/>
        </w:rPr>
        <w:t>¶</w:t>
      </w:r>
      <w:r w:rsidRPr="00F0673F">
        <w:rPr>
          <w:sz w:val="20"/>
          <w:szCs w:val="20"/>
        </w:rPr>
        <w:t xml:space="preserve"> 19</w:t>
      </w:r>
      <w:r w:rsidRPr="00F0673F">
        <w:rPr>
          <w:bCs/>
          <w:sz w:val="20"/>
          <w:szCs w:val="20"/>
        </w:rPr>
        <w:t xml:space="preserve">, U.N. Doc. </w:t>
      </w:r>
      <w:r w:rsidRPr="00F0673F">
        <w:rPr>
          <w:bCs/>
          <w:sz w:val="20"/>
          <w:szCs w:val="20"/>
          <w:lang w:val="en-GB"/>
        </w:rPr>
        <w:t xml:space="preserve">E/C.12/ISR/CO/3 (2011); </w:t>
      </w:r>
      <w:r w:rsidRPr="00F0673F">
        <w:rPr>
          <w:bCs/>
          <w:i/>
          <w:sz w:val="20"/>
          <w:szCs w:val="20"/>
          <w:lang w:val="en-GB"/>
        </w:rPr>
        <w:t>Netherlands</w:t>
      </w:r>
      <w:r w:rsidRPr="00F0673F">
        <w:rPr>
          <w:bCs/>
          <w:sz w:val="20"/>
          <w:szCs w:val="20"/>
          <w:lang w:val="en-GB"/>
        </w:rPr>
        <w:t xml:space="preserve">, </w:t>
      </w:r>
      <w:r w:rsidRPr="00F0673F">
        <w:rPr>
          <w:b/>
          <w:sz w:val="20"/>
          <w:szCs w:val="20"/>
        </w:rPr>
        <w:t>¶</w:t>
      </w:r>
      <w:r w:rsidRPr="00F0673F">
        <w:rPr>
          <w:sz w:val="20"/>
          <w:szCs w:val="20"/>
        </w:rPr>
        <w:t xml:space="preserve"> 27</w:t>
      </w:r>
      <w:r w:rsidRPr="00F0673F">
        <w:rPr>
          <w:bCs/>
          <w:sz w:val="20"/>
          <w:szCs w:val="20"/>
          <w:lang w:val="en-GB"/>
        </w:rPr>
        <w:t xml:space="preserve">, U.N. Doc. E/C.12/NDL/CO/4-5 (2010); </w:t>
      </w:r>
      <w:r w:rsidRPr="00F0673F">
        <w:rPr>
          <w:i/>
          <w:sz w:val="20"/>
          <w:szCs w:val="20"/>
        </w:rPr>
        <w:t>Former Yugoslav Republic of Macedonia</w:t>
      </w:r>
      <w:r w:rsidRPr="00F0673F">
        <w:rPr>
          <w:sz w:val="20"/>
          <w:szCs w:val="20"/>
        </w:rPr>
        <w:t xml:space="preserve">, </w:t>
      </w:r>
      <w:r w:rsidRPr="00F0673F">
        <w:rPr>
          <w:b/>
          <w:sz w:val="20"/>
          <w:szCs w:val="20"/>
        </w:rPr>
        <w:t>¶</w:t>
      </w:r>
      <w:r w:rsidRPr="00F0673F">
        <w:rPr>
          <w:sz w:val="20"/>
          <w:szCs w:val="20"/>
        </w:rPr>
        <w:t xml:space="preserve"> 46</w:t>
      </w:r>
      <w:r w:rsidRPr="00F0673F">
        <w:rPr>
          <w:bCs/>
          <w:sz w:val="20"/>
          <w:szCs w:val="20"/>
          <w:lang w:val="en-GB"/>
        </w:rPr>
        <w:t xml:space="preserve">, </w:t>
      </w:r>
      <w:r w:rsidRPr="00F0673F">
        <w:rPr>
          <w:sz w:val="20"/>
          <w:szCs w:val="20"/>
        </w:rPr>
        <w:t xml:space="preserve">U.N. Doc. </w:t>
      </w:r>
      <w:r w:rsidRPr="00F0673F">
        <w:rPr>
          <w:bCs/>
          <w:sz w:val="20"/>
          <w:szCs w:val="20"/>
          <w:lang w:val="en-GB"/>
        </w:rPr>
        <w:t>E/C.12/MKD/CO/1 (2008).</w:t>
      </w:r>
    </w:p>
  </w:endnote>
  <w:endnote w:id="71">
    <w:p w14:paraId="2DCAE05A" w14:textId="2FBFE19E"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 Colombia</w:t>
      </w:r>
      <w:r w:rsidRPr="00F0673F">
        <w:rPr>
          <w:sz w:val="20"/>
          <w:szCs w:val="20"/>
        </w:rPr>
        <w:t>, ¶¶ 56-57, U.N. Doc. CRPD/C/COL/CO/1 (2016).</w:t>
      </w:r>
    </w:p>
  </w:endnote>
  <w:endnote w:id="72">
    <w:p w14:paraId="27B75D5B" w14:textId="5D95108C"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L. 1098/06, </w:t>
      </w:r>
      <w:proofErr w:type="spellStart"/>
      <w:r w:rsidRPr="00F0673F">
        <w:rPr>
          <w:rFonts w:eastAsia="Cambria"/>
          <w:smallCaps/>
          <w:sz w:val="20"/>
          <w:szCs w:val="20"/>
        </w:rPr>
        <w:t>noviembre</w:t>
      </w:r>
      <w:proofErr w:type="spellEnd"/>
      <w:r w:rsidRPr="00F0673F">
        <w:rPr>
          <w:rFonts w:eastAsia="Cambria"/>
          <w:smallCaps/>
          <w:sz w:val="20"/>
          <w:szCs w:val="20"/>
        </w:rPr>
        <w:t xml:space="preserve"> 8, 2006,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 46,446,</w:t>
      </w:r>
      <w:r w:rsidRPr="00F0673F">
        <w:rPr>
          <w:sz w:val="20"/>
          <w:szCs w:val="20"/>
          <w:lang w:val="es-ES"/>
        </w:rPr>
        <w:t xml:space="preserve"> (Colom.);</w:t>
      </w:r>
      <w:r w:rsidRPr="00F0673F">
        <w:rPr>
          <w:sz w:val="20"/>
          <w:szCs w:val="20"/>
        </w:rPr>
        <w:t xml:space="preserve"> </w:t>
      </w:r>
      <w:r w:rsidRPr="00F0673F">
        <w:rPr>
          <w:rFonts w:eastAsia="Cambria"/>
          <w:smallCaps/>
          <w:sz w:val="20"/>
          <w:szCs w:val="20"/>
        </w:rPr>
        <w:t xml:space="preserve">L. 115/94, </w:t>
      </w:r>
      <w:proofErr w:type="spellStart"/>
      <w:r w:rsidRPr="00F0673F">
        <w:rPr>
          <w:rFonts w:eastAsia="Cambria"/>
          <w:smallCaps/>
          <w:sz w:val="20"/>
          <w:szCs w:val="20"/>
        </w:rPr>
        <w:t>febrero</w:t>
      </w:r>
      <w:proofErr w:type="spellEnd"/>
      <w:r w:rsidRPr="00F0673F">
        <w:rPr>
          <w:rFonts w:eastAsia="Cambria"/>
          <w:smallCaps/>
          <w:sz w:val="20"/>
          <w:szCs w:val="20"/>
        </w:rPr>
        <w:t xml:space="preserve"> 8, 1994,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w:t>
      </w:r>
      <w:r w:rsidRPr="00F0673F">
        <w:rPr>
          <w:sz w:val="20"/>
          <w:szCs w:val="20"/>
          <w:lang w:val="es-ES"/>
        </w:rPr>
        <w:t xml:space="preserve"> (Colom.);</w:t>
      </w:r>
      <w:r w:rsidRPr="00F0673F">
        <w:rPr>
          <w:sz w:val="20"/>
          <w:szCs w:val="20"/>
        </w:rPr>
        <w:t xml:space="preserve"> </w:t>
      </w:r>
      <w:r w:rsidRPr="00F0673F">
        <w:rPr>
          <w:rFonts w:eastAsia="Cambria"/>
          <w:smallCaps/>
          <w:sz w:val="20"/>
          <w:szCs w:val="20"/>
        </w:rPr>
        <w:t xml:space="preserve">L. 361/97, </w:t>
      </w:r>
      <w:proofErr w:type="spellStart"/>
      <w:r w:rsidRPr="00F0673F">
        <w:rPr>
          <w:rFonts w:eastAsia="Cambria"/>
          <w:smallCaps/>
          <w:sz w:val="20"/>
          <w:szCs w:val="20"/>
        </w:rPr>
        <w:t>febrero</w:t>
      </w:r>
      <w:proofErr w:type="spellEnd"/>
      <w:r w:rsidRPr="00F0673F">
        <w:rPr>
          <w:rFonts w:eastAsia="Cambria"/>
          <w:smallCaps/>
          <w:sz w:val="20"/>
          <w:szCs w:val="20"/>
        </w:rPr>
        <w:t xml:space="preserve"> 7, 1997, </w:t>
      </w:r>
      <w:proofErr w:type="spellStart"/>
      <w:r w:rsidRPr="00F0673F">
        <w:rPr>
          <w:rFonts w:eastAsia="Cambria"/>
          <w:smallCaps/>
          <w:sz w:val="20"/>
          <w:szCs w:val="20"/>
        </w:rPr>
        <w:t>Diario</w:t>
      </w:r>
      <w:proofErr w:type="spellEnd"/>
      <w:r w:rsidRPr="00F0673F">
        <w:rPr>
          <w:rFonts w:eastAsia="Cambria"/>
          <w:smallCaps/>
          <w:sz w:val="20"/>
          <w:szCs w:val="20"/>
        </w:rPr>
        <w:t xml:space="preserve"> </w:t>
      </w:r>
      <w:proofErr w:type="spellStart"/>
      <w:r w:rsidRPr="00F0673F">
        <w:rPr>
          <w:rFonts w:eastAsia="Cambria"/>
          <w:smallCaps/>
          <w:sz w:val="20"/>
          <w:szCs w:val="20"/>
        </w:rPr>
        <w:t>Oficial</w:t>
      </w:r>
      <w:proofErr w:type="spellEnd"/>
      <w:r w:rsidRPr="00F0673F">
        <w:rPr>
          <w:rFonts w:eastAsia="Cambria"/>
          <w:smallCaps/>
          <w:sz w:val="20"/>
          <w:szCs w:val="20"/>
        </w:rPr>
        <w:t xml:space="preserve"> [D.O] 42,978,</w:t>
      </w:r>
      <w:r w:rsidRPr="00F0673F">
        <w:rPr>
          <w:sz w:val="20"/>
          <w:szCs w:val="20"/>
          <w:lang w:val="es-ES"/>
        </w:rPr>
        <w:t xml:space="preserve"> (Colom.)</w:t>
      </w:r>
      <w:r w:rsidR="000C40E9">
        <w:rPr>
          <w:sz w:val="20"/>
          <w:szCs w:val="20"/>
          <w:lang w:val="es-ES"/>
        </w:rPr>
        <w:t>.</w:t>
      </w:r>
    </w:p>
  </w:endnote>
  <w:endnote w:id="73">
    <w:p w14:paraId="408542AD" w14:textId="4FBA3612"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Testimony of </w:t>
      </w:r>
      <w:proofErr w:type="spellStart"/>
      <w:r w:rsidRPr="00F0673F">
        <w:rPr>
          <w:sz w:val="20"/>
          <w:szCs w:val="20"/>
        </w:rPr>
        <w:t>Mónica</w:t>
      </w:r>
      <w:proofErr w:type="spellEnd"/>
      <w:r w:rsidRPr="00F0673F">
        <w:rPr>
          <w:sz w:val="20"/>
          <w:szCs w:val="20"/>
        </w:rPr>
        <w:t xml:space="preserve"> Cortés, director of </w:t>
      </w:r>
      <w:proofErr w:type="spellStart"/>
      <w:r w:rsidRPr="00F0673F">
        <w:rPr>
          <w:sz w:val="20"/>
          <w:szCs w:val="20"/>
          <w:lang w:val="es-ES"/>
        </w:rPr>
        <w:t>Asdown</w:t>
      </w:r>
      <w:proofErr w:type="spellEnd"/>
      <w:r w:rsidRPr="00F0673F">
        <w:rPr>
          <w:sz w:val="20"/>
          <w:szCs w:val="20"/>
          <w:lang w:val="es-ES"/>
        </w:rPr>
        <w:t xml:space="preserve"> Colombia, </w:t>
      </w:r>
      <w:proofErr w:type="spellStart"/>
      <w:r w:rsidRPr="00F0673F">
        <w:rPr>
          <w:sz w:val="20"/>
          <w:szCs w:val="20"/>
          <w:lang w:val="es-ES"/>
        </w:rPr>
        <w:t>on</w:t>
      </w:r>
      <w:proofErr w:type="spellEnd"/>
      <w:r w:rsidRPr="00F0673F">
        <w:rPr>
          <w:sz w:val="20"/>
          <w:szCs w:val="20"/>
          <w:lang w:val="es-ES"/>
        </w:rPr>
        <w:t xml:space="preserve"> file </w:t>
      </w:r>
      <w:proofErr w:type="spellStart"/>
      <w:r w:rsidRPr="00F0673F">
        <w:rPr>
          <w:sz w:val="20"/>
          <w:szCs w:val="20"/>
          <w:lang w:val="es-ES"/>
        </w:rPr>
        <w:t>with</w:t>
      </w:r>
      <w:proofErr w:type="spellEnd"/>
      <w:r w:rsidRPr="00F0673F">
        <w:rPr>
          <w:sz w:val="20"/>
          <w:szCs w:val="20"/>
          <w:lang w:val="es-ES"/>
        </w:rPr>
        <w:t xml:space="preserve"> </w:t>
      </w:r>
      <w:proofErr w:type="spellStart"/>
      <w:r w:rsidRPr="00F0673F">
        <w:rPr>
          <w:sz w:val="20"/>
          <w:szCs w:val="20"/>
          <w:lang w:val="es-ES"/>
        </w:rPr>
        <w:t>authors</w:t>
      </w:r>
      <w:proofErr w:type="spellEnd"/>
      <w:r w:rsidRPr="00F0673F">
        <w:rPr>
          <w:sz w:val="20"/>
          <w:szCs w:val="20"/>
          <w:lang w:val="es-ES"/>
        </w:rPr>
        <w:t>.</w:t>
      </w:r>
    </w:p>
  </w:endnote>
  <w:endnote w:id="74">
    <w:p w14:paraId="5B44C15C" w14:textId="3AA8B45C"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proofErr w:type="spellStart"/>
      <w:r w:rsidRPr="00F0673F">
        <w:rPr>
          <w:rFonts w:eastAsia="Cambria"/>
          <w:smallCaps/>
          <w:sz w:val="20"/>
          <w:szCs w:val="20"/>
        </w:rPr>
        <w:t>Ministerio</w:t>
      </w:r>
      <w:proofErr w:type="spellEnd"/>
      <w:r w:rsidRPr="00F0673F">
        <w:rPr>
          <w:rFonts w:eastAsia="Cambria"/>
          <w:smallCaps/>
          <w:sz w:val="20"/>
          <w:szCs w:val="20"/>
        </w:rPr>
        <w:t xml:space="preserve"> de </w:t>
      </w:r>
      <w:proofErr w:type="spellStart"/>
      <w:r w:rsidRPr="00F0673F">
        <w:rPr>
          <w:rFonts w:eastAsia="Cambria"/>
          <w:smallCaps/>
          <w:sz w:val="20"/>
          <w:szCs w:val="20"/>
        </w:rPr>
        <w:t>Educación</w:t>
      </w:r>
      <w:proofErr w:type="spellEnd"/>
      <w:r w:rsidRPr="00F0673F">
        <w:rPr>
          <w:rFonts w:eastAsia="Cambria"/>
          <w:smallCaps/>
          <w:sz w:val="20"/>
          <w:szCs w:val="20"/>
        </w:rPr>
        <w:t xml:space="preserve">, </w:t>
      </w:r>
      <w:proofErr w:type="spellStart"/>
      <w:r w:rsidRPr="00F0673F">
        <w:rPr>
          <w:rFonts w:eastAsia="Cambria"/>
          <w:smallCaps/>
          <w:sz w:val="20"/>
          <w:szCs w:val="20"/>
        </w:rPr>
        <w:t>Educación</w:t>
      </w:r>
      <w:proofErr w:type="spellEnd"/>
      <w:r w:rsidRPr="00F0673F">
        <w:rPr>
          <w:rFonts w:eastAsia="Cambria"/>
          <w:smallCaps/>
          <w:sz w:val="20"/>
          <w:szCs w:val="20"/>
        </w:rPr>
        <w:t xml:space="preserve"> para </w:t>
      </w:r>
      <w:proofErr w:type="spellStart"/>
      <w:r w:rsidRPr="00F0673F">
        <w:rPr>
          <w:rFonts w:eastAsia="Cambria"/>
          <w:smallCaps/>
          <w:sz w:val="20"/>
          <w:szCs w:val="20"/>
        </w:rPr>
        <w:t>Todos</w:t>
      </w:r>
      <w:proofErr w:type="spellEnd"/>
      <w:r w:rsidRPr="00F0673F">
        <w:rPr>
          <w:rFonts w:eastAsia="Cambria"/>
          <w:smallCaps/>
          <w:sz w:val="20"/>
          <w:szCs w:val="20"/>
        </w:rPr>
        <w:t xml:space="preserve">, </w:t>
      </w:r>
      <w:proofErr w:type="spellStart"/>
      <w:r w:rsidRPr="00F0673F">
        <w:rPr>
          <w:rFonts w:eastAsia="Cambria"/>
          <w:smallCaps/>
          <w:sz w:val="20"/>
          <w:szCs w:val="20"/>
        </w:rPr>
        <w:t>Altablero</w:t>
      </w:r>
      <w:proofErr w:type="spellEnd"/>
      <w:r w:rsidRPr="00F0673F">
        <w:rPr>
          <w:rFonts w:eastAsia="Cambria"/>
          <w:smallCaps/>
          <w:sz w:val="20"/>
          <w:szCs w:val="20"/>
        </w:rPr>
        <w:t>, 2007</w:t>
      </w:r>
      <w:r w:rsidRPr="00F0673F">
        <w:rPr>
          <w:sz w:val="20"/>
          <w:szCs w:val="20"/>
        </w:rPr>
        <w:t xml:space="preserve"> </w:t>
      </w:r>
      <w:hyperlink r:id="rId6" w:history="1">
        <w:r w:rsidRPr="00F0673F">
          <w:rPr>
            <w:rStyle w:val="Hyperlink"/>
            <w:sz w:val="20"/>
            <w:szCs w:val="20"/>
          </w:rPr>
          <w:t>http://www.mineducacion.gov.co/1621/article-141881.html</w:t>
        </w:r>
      </w:hyperlink>
      <w:r w:rsidR="000C40E9">
        <w:rPr>
          <w:sz w:val="20"/>
          <w:szCs w:val="20"/>
        </w:rPr>
        <w:t>.</w:t>
      </w:r>
      <w:r w:rsidRPr="00F0673F">
        <w:rPr>
          <w:sz w:val="20"/>
          <w:szCs w:val="20"/>
        </w:rPr>
        <w:t xml:space="preserve"> </w:t>
      </w:r>
    </w:p>
  </w:endnote>
  <w:endnote w:id="75">
    <w:p w14:paraId="20E6E814" w14:textId="751BFDAB"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0C40E9">
        <w:rPr>
          <w:i/>
          <w:sz w:val="20"/>
          <w:szCs w:val="20"/>
        </w:rPr>
        <w:t>Id</w:t>
      </w:r>
      <w:r w:rsidRPr="00F0673F">
        <w:rPr>
          <w:sz w:val="20"/>
          <w:szCs w:val="20"/>
        </w:rPr>
        <w:t xml:space="preserve">. </w:t>
      </w:r>
    </w:p>
  </w:endnote>
  <w:endnote w:id="76">
    <w:p w14:paraId="535BBFC9" w14:textId="7777777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Ministry of Education, Integrated Registration System for 2014 and 2015</w:t>
      </w:r>
      <w:r w:rsidRPr="00F0673F">
        <w:rPr>
          <w:sz w:val="20"/>
          <w:szCs w:val="20"/>
        </w:rPr>
        <w:t>.</w:t>
      </w:r>
    </w:p>
  </w:endnote>
  <w:endnote w:id="77">
    <w:p w14:paraId="01D9732A" w14:textId="10FAC5A1"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w:t>
      </w:r>
      <w:proofErr w:type="spellStart"/>
      <w:r w:rsidRPr="00F0673F">
        <w:rPr>
          <w:rFonts w:eastAsia="Cambria"/>
          <w:smallCaps/>
          <w:sz w:val="20"/>
          <w:szCs w:val="20"/>
        </w:rPr>
        <w:t>Alcaldía</w:t>
      </w:r>
      <w:proofErr w:type="spellEnd"/>
      <w:r w:rsidRPr="00F0673F">
        <w:rPr>
          <w:rFonts w:eastAsia="Cambria"/>
          <w:smallCaps/>
          <w:sz w:val="20"/>
          <w:szCs w:val="20"/>
        </w:rPr>
        <w:t xml:space="preserve"> Mayor de Bogotá – </w:t>
      </w:r>
      <w:proofErr w:type="spellStart"/>
      <w:r w:rsidRPr="00F0673F">
        <w:rPr>
          <w:rFonts w:eastAsia="Cambria"/>
          <w:smallCaps/>
          <w:sz w:val="20"/>
          <w:szCs w:val="20"/>
        </w:rPr>
        <w:t>Secretaría</w:t>
      </w:r>
      <w:proofErr w:type="spellEnd"/>
      <w:r w:rsidRPr="00F0673F">
        <w:rPr>
          <w:rFonts w:eastAsia="Cambria"/>
          <w:smallCaps/>
          <w:sz w:val="20"/>
          <w:szCs w:val="20"/>
        </w:rPr>
        <w:t xml:space="preserve"> </w:t>
      </w:r>
      <w:proofErr w:type="spellStart"/>
      <w:r w:rsidRPr="00F0673F">
        <w:rPr>
          <w:rFonts w:eastAsia="Cambria"/>
          <w:smallCaps/>
          <w:sz w:val="20"/>
          <w:szCs w:val="20"/>
        </w:rPr>
        <w:t>Distrital</w:t>
      </w:r>
      <w:proofErr w:type="spellEnd"/>
      <w:r w:rsidRPr="00F0673F">
        <w:rPr>
          <w:rFonts w:eastAsia="Cambria"/>
          <w:smallCaps/>
          <w:sz w:val="20"/>
          <w:szCs w:val="20"/>
        </w:rPr>
        <w:t xml:space="preserve"> de la </w:t>
      </w:r>
      <w:proofErr w:type="spellStart"/>
      <w:r w:rsidRPr="00F0673F">
        <w:rPr>
          <w:rFonts w:eastAsia="Cambria"/>
          <w:smallCaps/>
          <w:sz w:val="20"/>
          <w:szCs w:val="20"/>
        </w:rPr>
        <w:t>Mujer</w:t>
      </w:r>
      <w:proofErr w:type="spellEnd"/>
      <w:r w:rsidRPr="00F0673F">
        <w:rPr>
          <w:rFonts w:eastAsia="Cambria"/>
          <w:smallCaps/>
          <w:sz w:val="20"/>
          <w:szCs w:val="20"/>
        </w:rPr>
        <w:t xml:space="preserve"> (2014) </w:t>
      </w:r>
      <w:proofErr w:type="spellStart"/>
      <w:r w:rsidRPr="00F0673F">
        <w:rPr>
          <w:rFonts w:eastAsia="Cambria"/>
          <w:smallCaps/>
          <w:sz w:val="20"/>
          <w:szCs w:val="20"/>
        </w:rPr>
        <w:t>Tercer</w:t>
      </w:r>
      <w:proofErr w:type="spellEnd"/>
      <w:r w:rsidRPr="00F0673F">
        <w:rPr>
          <w:rFonts w:eastAsia="Cambria"/>
          <w:smallCaps/>
          <w:sz w:val="20"/>
          <w:szCs w:val="20"/>
        </w:rPr>
        <w:t xml:space="preserve"> </w:t>
      </w:r>
      <w:proofErr w:type="spellStart"/>
      <w:r w:rsidRPr="00F0673F">
        <w:rPr>
          <w:rFonts w:eastAsia="Cambria"/>
          <w:smallCaps/>
          <w:sz w:val="20"/>
          <w:szCs w:val="20"/>
        </w:rPr>
        <w:t>encuentro</w:t>
      </w:r>
      <w:proofErr w:type="spellEnd"/>
      <w:r w:rsidRPr="00F0673F">
        <w:rPr>
          <w:rFonts w:eastAsia="Cambria"/>
          <w:smallCaps/>
          <w:sz w:val="20"/>
          <w:szCs w:val="20"/>
        </w:rPr>
        <w:t xml:space="preserve"> </w:t>
      </w:r>
      <w:proofErr w:type="spellStart"/>
      <w:r w:rsidRPr="00F0673F">
        <w:rPr>
          <w:rFonts w:eastAsia="Cambria"/>
          <w:smallCaps/>
          <w:sz w:val="20"/>
          <w:szCs w:val="20"/>
        </w:rPr>
        <w:t>distrital</w:t>
      </w:r>
      <w:proofErr w:type="spellEnd"/>
      <w:r w:rsidRPr="00F0673F">
        <w:rPr>
          <w:rFonts w:eastAsia="Cambria"/>
          <w:smallCaps/>
          <w:sz w:val="20"/>
          <w:szCs w:val="20"/>
        </w:rPr>
        <w:t xml:space="preserve"> de </w:t>
      </w:r>
      <w:proofErr w:type="spellStart"/>
      <w:r w:rsidRPr="00F0673F">
        <w:rPr>
          <w:rFonts w:eastAsia="Cambria"/>
          <w:smallCaps/>
          <w:sz w:val="20"/>
          <w:szCs w:val="20"/>
        </w:rPr>
        <w:t>mujeres</w:t>
      </w:r>
      <w:proofErr w:type="spellEnd"/>
      <w:r w:rsidRPr="00F0673F">
        <w:rPr>
          <w:rFonts w:eastAsia="Cambria"/>
          <w:smallCaps/>
          <w:sz w:val="20"/>
          <w:szCs w:val="20"/>
        </w:rPr>
        <w:t xml:space="preserve"> con </w:t>
      </w:r>
      <w:proofErr w:type="spellStart"/>
      <w:r w:rsidRPr="00F0673F">
        <w:rPr>
          <w:rFonts w:eastAsia="Cambria"/>
          <w:smallCaps/>
          <w:sz w:val="20"/>
          <w:szCs w:val="20"/>
        </w:rPr>
        <w:t>discapacidad</w:t>
      </w:r>
      <w:proofErr w:type="spellEnd"/>
      <w:r w:rsidRPr="00F0673F">
        <w:rPr>
          <w:rFonts w:eastAsia="Cambria"/>
          <w:smallCaps/>
          <w:sz w:val="20"/>
          <w:szCs w:val="20"/>
        </w:rPr>
        <w:t xml:space="preserve"> y </w:t>
      </w:r>
      <w:proofErr w:type="spellStart"/>
      <w:r w:rsidRPr="00F0673F">
        <w:rPr>
          <w:rFonts w:eastAsia="Cambria"/>
          <w:smallCaps/>
          <w:sz w:val="20"/>
          <w:szCs w:val="20"/>
        </w:rPr>
        <w:t>cuidadores</w:t>
      </w:r>
      <w:proofErr w:type="spellEnd"/>
      <w:r w:rsidRPr="00F0673F">
        <w:rPr>
          <w:rFonts w:eastAsia="Cambria"/>
          <w:smallCaps/>
          <w:sz w:val="20"/>
          <w:szCs w:val="20"/>
        </w:rPr>
        <w:t xml:space="preserve"> “</w:t>
      </w:r>
      <w:proofErr w:type="spellStart"/>
      <w:r w:rsidRPr="00F0673F">
        <w:rPr>
          <w:rFonts w:eastAsia="Cambria"/>
          <w:smallCaps/>
          <w:sz w:val="20"/>
          <w:szCs w:val="20"/>
        </w:rPr>
        <w:t>Buscando</w:t>
      </w:r>
      <w:proofErr w:type="spellEnd"/>
      <w:r w:rsidRPr="00F0673F">
        <w:rPr>
          <w:rFonts w:eastAsia="Cambria"/>
          <w:smallCaps/>
          <w:sz w:val="20"/>
          <w:szCs w:val="20"/>
        </w:rPr>
        <w:t xml:space="preserve"> la </w:t>
      </w:r>
      <w:proofErr w:type="spellStart"/>
      <w:r w:rsidRPr="00F0673F">
        <w:rPr>
          <w:rFonts w:eastAsia="Cambria"/>
          <w:smallCaps/>
          <w:sz w:val="20"/>
          <w:szCs w:val="20"/>
        </w:rPr>
        <w:t>equidad</w:t>
      </w:r>
      <w:proofErr w:type="spellEnd"/>
      <w:r w:rsidRPr="00F0673F">
        <w:rPr>
          <w:rFonts w:eastAsia="Cambria"/>
          <w:smallCaps/>
          <w:sz w:val="20"/>
          <w:szCs w:val="20"/>
        </w:rPr>
        <w:t xml:space="preserve"> y </w:t>
      </w:r>
      <w:proofErr w:type="spellStart"/>
      <w:r w:rsidRPr="00F0673F">
        <w:rPr>
          <w:rFonts w:eastAsia="Cambria"/>
          <w:smallCaps/>
          <w:sz w:val="20"/>
          <w:szCs w:val="20"/>
        </w:rPr>
        <w:t>trabajando</w:t>
      </w:r>
      <w:proofErr w:type="spellEnd"/>
      <w:r w:rsidRPr="00F0673F">
        <w:rPr>
          <w:rFonts w:eastAsia="Cambria"/>
          <w:smallCaps/>
          <w:sz w:val="20"/>
          <w:szCs w:val="20"/>
        </w:rPr>
        <w:t xml:space="preserve"> </w:t>
      </w:r>
      <w:proofErr w:type="spellStart"/>
      <w:r w:rsidRPr="00F0673F">
        <w:rPr>
          <w:rFonts w:eastAsia="Cambria"/>
          <w:smallCaps/>
          <w:sz w:val="20"/>
          <w:szCs w:val="20"/>
        </w:rPr>
        <w:t>por</w:t>
      </w:r>
      <w:proofErr w:type="spellEnd"/>
      <w:r w:rsidRPr="00F0673F">
        <w:rPr>
          <w:rFonts w:eastAsia="Cambria"/>
          <w:smallCaps/>
          <w:sz w:val="20"/>
          <w:szCs w:val="20"/>
        </w:rPr>
        <w:t xml:space="preserve"> la </w:t>
      </w:r>
      <w:proofErr w:type="spellStart"/>
      <w:r w:rsidRPr="00F0673F">
        <w:rPr>
          <w:rFonts w:eastAsia="Cambria"/>
          <w:smallCaps/>
          <w:sz w:val="20"/>
          <w:szCs w:val="20"/>
        </w:rPr>
        <w:t>diversidad</w:t>
      </w:r>
      <w:proofErr w:type="spellEnd"/>
      <w:r w:rsidR="000C40E9">
        <w:rPr>
          <w:rFonts w:eastAsia="Cambria"/>
          <w:smallCaps/>
          <w:sz w:val="20"/>
          <w:szCs w:val="20"/>
        </w:rPr>
        <w:t>.</w:t>
      </w:r>
      <w:r w:rsidRPr="00F0673F">
        <w:rPr>
          <w:rFonts w:eastAsia="Cambria"/>
          <w:smallCaps/>
          <w:sz w:val="20"/>
          <w:szCs w:val="20"/>
        </w:rPr>
        <w:t>”</w:t>
      </w:r>
    </w:p>
  </w:endnote>
  <w:endnote w:id="78">
    <w:p w14:paraId="7923DC0F" w14:textId="312AECFB" w:rsidR="00C937A5" w:rsidRPr="00163E7D" w:rsidRDefault="00C937A5" w:rsidP="00255789">
      <w:pPr>
        <w:pStyle w:val="EndnoteText"/>
        <w:jc w:val="left"/>
        <w:rPr>
          <w:sz w:val="20"/>
          <w:szCs w:val="20"/>
        </w:rPr>
      </w:pPr>
      <w:r w:rsidRPr="00163E7D">
        <w:rPr>
          <w:rStyle w:val="EndnoteReference"/>
          <w:sz w:val="20"/>
          <w:szCs w:val="20"/>
        </w:rPr>
        <w:endnoteRef/>
      </w:r>
      <w:r w:rsidRPr="00163E7D">
        <w:rPr>
          <w:sz w:val="20"/>
          <w:szCs w:val="20"/>
        </w:rPr>
        <w:t xml:space="preserve"> General Law of Education (Act 115 of 1993).</w:t>
      </w:r>
    </w:p>
  </w:endnote>
  <w:endnote w:id="79">
    <w:p w14:paraId="0EFDBC9C" w14:textId="63E735A0"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F0673F">
        <w:rPr>
          <w:rFonts w:eastAsia="Cambria"/>
          <w:smallCaps/>
          <w:sz w:val="20"/>
          <w:szCs w:val="20"/>
        </w:rPr>
        <w:t>World Bank, Teen pregnancy and opportunities in Lat</w:t>
      </w:r>
      <w:r w:rsidR="000C40E9">
        <w:rPr>
          <w:rFonts w:eastAsia="Cambria"/>
          <w:smallCaps/>
          <w:sz w:val="20"/>
          <w:szCs w:val="20"/>
        </w:rPr>
        <w:t>in America and the Caribbean</w:t>
      </w:r>
      <w:r w:rsidRPr="00F0673F">
        <w:rPr>
          <w:rFonts w:eastAsia="Cambria"/>
          <w:smallCaps/>
          <w:sz w:val="20"/>
          <w:szCs w:val="20"/>
        </w:rPr>
        <w:t xml:space="preserve"> </w:t>
      </w:r>
      <w:r w:rsidR="000C40E9">
        <w:rPr>
          <w:rFonts w:eastAsia="Cambria"/>
          <w:smallCaps/>
          <w:sz w:val="20"/>
          <w:szCs w:val="20"/>
        </w:rPr>
        <w:t xml:space="preserve">(2012), </w:t>
      </w:r>
      <w:r w:rsidR="000C40E9" w:rsidRPr="000C40E9">
        <w:rPr>
          <w:rFonts w:eastAsia="Cambria"/>
          <w:i/>
          <w:sz w:val="20"/>
          <w:szCs w:val="20"/>
        </w:rPr>
        <w:t>available at</w:t>
      </w:r>
      <w:r w:rsidRPr="00F0673F">
        <w:rPr>
          <w:rFonts w:eastAsia="Cambria"/>
          <w:smallCaps/>
          <w:sz w:val="20"/>
          <w:szCs w:val="20"/>
        </w:rPr>
        <w:t xml:space="preserve"> </w:t>
      </w:r>
      <w:hyperlink r:id="rId7">
        <w:r w:rsidRPr="00F0673F">
          <w:rPr>
            <w:sz w:val="20"/>
            <w:szCs w:val="20"/>
          </w:rPr>
          <w:t>http://documents.worldbank.org/curated/en/983641468238477531/pdf/831670WP0SPANI0Box0382076B00PUBLIC0.pdf</w:t>
        </w:r>
      </w:hyperlink>
      <w:r w:rsidR="001E2B36">
        <w:rPr>
          <w:sz w:val="20"/>
          <w:szCs w:val="20"/>
        </w:rPr>
        <w:t xml:space="preserve">. </w:t>
      </w:r>
    </w:p>
  </w:endnote>
  <w:endnote w:id="80">
    <w:p w14:paraId="37396CF6" w14:textId="77777777"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1E2B36">
        <w:rPr>
          <w:i/>
          <w:sz w:val="20"/>
          <w:szCs w:val="20"/>
          <w:lang w:val="es-ES"/>
        </w:rPr>
        <w:t>Id</w:t>
      </w:r>
      <w:r w:rsidRPr="00F0673F">
        <w:rPr>
          <w:sz w:val="20"/>
          <w:szCs w:val="20"/>
          <w:lang w:val="es-ES"/>
        </w:rPr>
        <w:t>.</w:t>
      </w:r>
    </w:p>
  </w:endnote>
  <w:endnote w:id="81">
    <w:p w14:paraId="3115ED5D" w14:textId="38012A65"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proofErr w:type="spellStart"/>
      <w:r w:rsidRPr="00F0673F">
        <w:rPr>
          <w:sz w:val="20"/>
          <w:szCs w:val="20"/>
          <w:lang w:val="es-ES"/>
        </w:rPr>
        <w:t>National</w:t>
      </w:r>
      <w:proofErr w:type="spellEnd"/>
      <w:r w:rsidRPr="00F0673F">
        <w:rPr>
          <w:sz w:val="20"/>
          <w:szCs w:val="20"/>
          <w:lang w:val="es-ES"/>
        </w:rPr>
        <w:t xml:space="preserve"> </w:t>
      </w:r>
      <w:proofErr w:type="spellStart"/>
      <w:r w:rsidRPr="00F0673F">
        <w:rPr>
          <w:sz w:val="20"/>
          <w:szCs w:val="20"/>
          <w:lang w:val="es-ES"/>
        </w:rPr>
        <w:t>Institute</w:t>
      </w:r>
      <w:proofErr w:type="spellEnd"/>
      <w:r w:rsidRPr="00F0673F">
        <w:rPr>
          <w:sz w:val="20"/>
          <w:szCs w:val="20"/>
          <w:lang w:val="es-ES"/>
        </w:rPr>
        <w:t xml:space="preserve"> </w:t>
      </w:r>
      <w:proofErr w:type="spellStart"/>
      <w:r w:rsidRPr="00F0673F">
        <w:rPr>
          <w:sz w:val="20"/>
          <w:szCs w:val="20"/>
          <w:lang w:val="es-ES"/>
        </w:rPr>
        <w:t>for</w:t>
      </w:r>
      <w:proofErr w:type="spellEnd"/>
      <w:r w:rsidRPr="00F0673F">
        <w:rPr>
          <w:sz w:val="20"/>
          <w:szCs w:val="20"/>
          <w:lang w:val="es-ES"/>
        </w:rPr>
        <w:t xml:space="preserve"> Legal Medicine and </w:t>
      </w:r>
      <w:proofErr w:type="spellStart"/>
      <w:r w:rsidRPr="00F0673F">
        <w:rPr>
          <w:sz w:val="20"/>
          <w:szCs w:val="20"/>
          <w:lang w:val="es-ES"/>
        </w:rPr>
        <w:t>Forensic</w:t>
      </w:r>
      <w:proofErr w:type="spellEnd"/>
      <w:r w:rsidRPr="00F0673F">
        <w:rPr>
          <w:sz w:val="20"/>
          <w:szCs w:val="20"/>
          <w:lang w:val="es-ES"/>
        </w:rPr>
        <w:t xml:space="preserve"> </w:t>
      </w:r>
      <w:proofErr w:type="spellStart"/>
      <w:r w:rsidRPr="00F0673F">
        <w:rPr>
          <w:sz w:val="20"/>
          <w:szCs w:val="20"/>
          <w:lang w:val="es-ES"/>
        </w:rPr>
        <w:t>Sciences</w:t>
      </w:r>
      <w:proofErr w:type="spellEnd"/>
      <w:r w:rsidRPr="00F0673F">
        <w:rPr>
          <w:sz w:val="20"/>
          <w:szCs w:val="20"/>
          <w:lang w:val="es-ES"/>
        </w:rPr>
        <w:t xml:space="preserve">, </w:t>
      </w:r>
      <w:proofErr w:type="spellStart"/>
      <w:r w:rsidRPr="00F0673F">
        <w:rPr>
          <w:sz w:val="20"/>
          <w:szCs w:val="20"/>
          <w:lang w:val="es-ES"/>
        </w:rPr>
        <w:t>Forensis</w:t>
      </w:r>
      <w:proofErr w:type="spellEnd"/>
      <w:r w:rsidRPr="00F0673F">
        <w:rPr>
          <w:sz w:val="20"/>
          <w:szCs w:val="20"/>
          <w:lang w:val="es-ES"/>
        </w:rPr>
        <w:t>, 2016</w:t>
      </w:r>
      <w:r w:rsidR="001E2B36">
        <w:rPr>
          <w:sz w:val="20"/>
          <w:szCs w:val="20"/>
          <w:lang w:val="es-ES"/>
        </w:rPr>
        <w:t>.</w:t>
      </w:r>
    </w:p>
  </w:endnote>
  <w:endnote w:id="82">
    <w:p w14:paraId="313FD404" w14:textId="72B668E1" w:rsidR="00C937A5" w:rsidRPr="00F0673F" w:rsidRDefault="00C937A5" w:rsidP="00255789">
      <w:pPr>
        <w:pStyle w:val="EndnoteText"/>
        <w:jc w:val="left"/>
        <w:rPr>
          <w:sz w:val="20"/>
          <w:szCs w:val="20"/>
          <w:lang w:val="es-ES"/>
        </w:rPr>
      </w:pPr>
      <w:r w:rsidRPr="00F0673F">
        <w:rPr>
          <w:rStyle w:val="EndnoteReference"/>
          <w:sz w:val="20"/>
          <w:szCs w:val="20"/>
        </w:rPr>
        <w:endnoteRef/>
      </w:r>
      <w:r w:rsidRPr="00F0673F">
        <w:rPr>
          <w:sz w:val="20"/>
          <w:szCs w:val="20"/>
        </w:rPr>
        <w:t xml:space="preserve"> </w:t>
      </w:r>
      <w:r w:rsidRPr="00F0673F">
        <w:rPr>
          <w:rFonts w:eastAsia="Cambria"/>
          <w:smallCaps/>
          <w:sz w:val="20"/>
          <w:szCs w:val="20"/>
        </w:rPr>
        <w:t xml:space="preserve">World Bank, </w:t>
      </w:r>
      <w:r w:rsidR="001E2B36" w:rsidRPr="001E2B36">
        <w:rPr>
          <w:rFonts w:eastAsia="Cambria"/>
          <w:i/>
          <w:sz w:val="20"/>
          <w:szCs w:val="20"/>
        </w:rPr>
        <w:t xml:space="preserve">supra </w:t>
      </w:r>
      <w:r w:rsidR="001E2B36" w:rsidRPr="001E2B36">
        <w:rPr>
          <w:rFonts w:eastAsia="Cambria"/>
          <w:sz w:val="20"/>
          <w:szCs w:val="20"/>
        </w:rPr>
        <w:t>note</w:t>
      </w:r>
      <w:r w:rsidR="001E2B36">
        <w:rPr>
          <w:rFonts w:eastAsia="Cambria"/>
          <w:smallCaps/>
          <w:sz w:val="20"/>
          <w:szCs w:val="20"/>
        </w:rPr>
        <w:t xml:space="preserve"> 79. </w:t>
      </w:r>
    </w:p>
  </w:endnote>
  <w:endnote w:id="83">
    <w:p w14:paraId="78B55F03" w14:textId="44971768" w:rsidR="00C937A5" w:rsidRPr="00F0673F" w:rsidRDefault="00C937A5" w:rsidP="001E2B36">
      <w:pPr>
        <w:pStyle w:val="EndnoteText"/>
        <w:rPr>
          <w:sz w:val="20"/>
          <w:szCs w:val="20"/>
          <w:highlight w:val="yellow"/>
        </w:rPr>
      </w:pPr>
      <w:r w:rsidRPr="001E2B36">
        <w:rPr>
          <w:rStyle w:val="EndnoteReference"/>
          <w:sz w:val="20"/>
          <w:szCs w:val="20"/>
        </w:rPr>
        <w:endnoteRef/>
      </w:r>
      <w:r w:rsidRPr="001E2B36">
        <w:rPr>
          <w:sz w:val="20"/>
          <w:szCs w:val="20"/>
        </w:rPr>
        <w:t xml:space="preserve"> </w:t>
      </w:r>
      <w:r w:rsidR="001E2B36" w:rsidRPr="001E2B36">
        <w:rPr>
          <w:sz w:val="20"/>
          <w:szCs w:val="20"/>
        </w:rPr>
        <w:t>International Covenant on Economic, Social and Cultural Rights, art.13, adopted Dec. 16, 1966, G.A. Res. 2200A (XXI), U.N. GAOR, Supp. No. 16, at 49, U.N. Doc. A/6316 (1966), 999 U.N.T.S. 3 (entered into force Jan. 3, 1976)</w:t>
      </w:r>
      <w:r w:rsidR="00655400">
        <w:rPr>
          <w:sz w:val="20"/>
          <w:szCs w:val="20"/>
        </w:rPr>
        <w:t xml:space="preserve"> [hereinafter ICESCR].</w:t>
      </w:r>
    </w:p>
  </w:endnote>
  <w:endnote w:id="84">
    <w:p w14:paraId="610AF3D1" w14:textId="7B1115F1" w:rsidR="00C937A5" w:rsidRPr="00F0673F" w:rsidRDefault="00C937A5" w:rsidP="00255789">
      <w:pPr>
        <w:pStyle w:val="EndnoteText"/>
        <w:jc w:val="left"/>
        <w:rPr>
          <w:sz w:val="20"/>
          <w:szCs w:val="20"/>
        </w:rPr>
      </w:pPr>
      <w:r w:rsidRPr="001E2B36">
        <w:rPr>
          <w:rStyle w:val="EndnoteReference"/>
          <w:sz w:val="20"/>
          <w:szCs w:val="20"/>
        </w:rPr>
        <w:endnoteRef/>
      </w:r>
      <w:r w:rsidRPr="001E2B36">
        <w:rPr>
          <w:sz w:val="20"/>
          <w:szCs w:val="20"/>
        </w:rPr>
        <w:t xml:space="preserve"> CRPD, </w:t>
      </w:r>
      <w:r w:rsidR="001E2B36" w:rsidRPr="001E2B36">
        <w:rPr>
          <w:i/>
          <w:sz w:val="20"/>
          <w:szCs w:val="20"/>
        </w:rPr>
        <w:t xml:space="preserve">supra </w:t>
      </w:r>
      <w:r w:rsidR="001E2B36" w:rsidRPr="001E2B36">
        <w:rPr>
          <w:sz w:val="20"/>
          <w:szCs w:val="20"/>
        </w:rPr>
        <w:t>note 61, a</w:t>
      </w:r>
      <w:r w:rsidRPr="001E2B36">
        <w:rPr>
          <w:sz w:val="20"/>
          <w:szCs w:val="20"/>
        </w:rPr>
        <w:t>rt. 24(2).</w:t>
      </w:r>
    </w:p>
  </w:endnote>
  <w:endnote w:id="85">
    <w:p w14:paraId="7C389155" w14:textId="77777777"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General Comment No. 22: Sexual and reproductive Rights</w:t>
      </w:r>
      <w:r w:rsidRPr="00F0673F">
        <w:rPr>
          <w:sz w:val="20"/>
          <w:szCs w:val="20"/>
        </w:rPr>
        <w:t xml:space="preserve">, ¶ 47, U.N. Doc. E/C.12/GC/22 (2016). </w:t>
      </w:r>
    </w:p>
  </w:endnote>
  <w:endnote w:id="86">
    <w:p w14:paraId="212C661D" w14:textId="6D536336"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001E2B36">
        <w:rPr>
          <w:i/>
          <w:sz w:val="20"/>
          <w:szCs w:val="20"/>
        </w:rPr>
        <w:t>Id.</w:t>
      </w:r>
      <w:r w:rsidR="001E2B36">
        <w:rPr>
          <w:sz w:val="20"/>
          <w:szCs w:val="20"/>
        </w:rPr>
        <w:t>, ¶ 49(f)</w:t>
      </w:r>
      <w:r w:rsidRPr="00F0673F">
        <w:rPr>
          <w:sz w:val="20"/>
          <w:szCs w:val="20"/>
        </w:rPr>
        <w:t xml:space="preserve">. </w:t>
      </w:r>
    </w:p>
  </w:endnote>
  <w:endnote w:id="87">
    <w:p w14:paraId="3F56204E" w14:textId="3520E4BE"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r w:rsidRPr="00F0673F">
        <w:rPr>
          <w:i/>
          <w:sz w:val="20"/>
          <w:szCs w:val="20"/>
        </w:rPr>
        <w:t>See, e.g.</w:t>
      </w:r>
      <w:r w:rsidRPr="00F0673F">
        <w:rPr>
          <w:sz w:val="20"/>
          <w:szCs w:val="20"/>
        </w:rPr>
        <w:t>,</w:t>
      </w:r>
      <w:r w:rsidRPr="00F0673F">
        <w:rPr>
          <w:i/>
          <w:sz w:val="20"/>
          <w:szCs w:val="20"/>
        </w:rPr>
        <w:t xml:space="preserve"> </w:t>
      </w:r>
      <w:r w:rsidRPr="00F0673F">
        <w:rPr>
          <w:sz w:val="20"/>
          <w:szCs w:val="20"/>
        </w:rPr>
        <w:t xml:space="preserve">ESCR Committee, </w:t>
      </w:r>
      <w:r w:rsidRPr="00F0673F">
        <w:rPr>
          <w:i/>
          <w:sz w:val="20"/>
          <w:szCs w:val="20"/>
        </w:rPr>
        <w:t>Concluding Observations</w:t>
      </w:r>
      <w:r w:rsidR="001E2B36">
        <w:rPr>
          <w:i/>
          <w:sz w:val="20"/>
          <w:szCs w:val="20"/>
        </w:rPr>
        <w:t xml:space="preserve"> to</w:t>
      </w:r>
      <w:r w:rsidRPr="00F0673F">
        <w:rPr>
          <w:i/>
          <w:sz w:val="20"/>
          <w:szCs w:val="20"/>
        </w:rPr>
        <w:t>: Thailand</w:t>
      </w:r>
      <w:r w:rsidRPr="00F0673F">
        <w:rPr>
          <w:sz w:val="20"/>
          <w:szCs w:val="20"/>
        </w:rPr>
        <w:t xml:space="preserve">, </w:t>
      </w:r>
      <w:r w:rsidRPr="00F0673F">
        <w:rPr>
          <w:b/>
          <w:sz w:val="20"/>
          <w:szCs w:val="20"/>
        </w:rPr>
        <w:t>¶</w:t>
      </w:r>
      <w:r w:rsidRPr="00F0673F">
        <w:rPr>
          <w:sz w:val="20"/>
          <w:szCs w:val="20"/>
        </w:rPr>
        <w:t xml:space="preserve"> 30, U.N. Doc. </w:t>
      </w:r>
      <w:r w:rsidRPr="00F0673F">
        <w:rPr>
          <w:sz w:val="20"/>
          <w:szCs w:val="20"/>
          <w:lang w:val="en-GB"/>
        </w:rPr>
        <w:t>E/C.12/THA/CO/1-2 (2015);</w:t>
      </w:r>
      <w:r w:rsidRPr="00F0673F">
        <w:rPr>
          <w:i/>
          <w:sz w:val="20"/>
          <w:szCs w:val="20"/>
        </w:rPr>
        <w:t xml:space="preserve"> Serbia</w:t>
      </w:r>
      <w:r w:rsidRPr="00F0673F">
        <w:rPr>
          <w:sz w:val="20"/>
          <w:szCs w:val="20"/>
        </w:rPr>
        <w:t xml:space="preserve">, </w:t>
      </w:r>
      <w:r w:rsidRPr="00F0673F">
        <w:rPr>
          <w:b/>
          <w:sz w:val="20"/>
          <w:szCs w:val="20"/>
        </w:rPr>
        <w:t>¶</w:t>
      </w:r>
      <w:r w:rsidRPr="00F0673F">
        <w:rPr>
          <w:sz w:val="20"/>
          <w:szCs w:val="20"/>
        </w:rPr>
        <w:t xml:space="preserve"> 33, U.N. Doc. </w:t>
      </w:r>
      <w:r w:rsidRPr="00F0673F">
        <w:rPr>
          <w:bCs/>
          <w:sz w:val="20"/>
          <w:szCs w:val="20"/>
          <w:lang w:val="en-GB"/>
        </w:rPr>
        <w:t>E/C.12/SRB/CO/2 (2014);</w:t>
      </w:r>
      <w:r w:rsidRPr="00F0673F">
        <w:rPr>
          <w:i/>
          <w:sz w:val="20"/>
          <w:szCs w:val="20"/>
        </w:rPr>
        <w:t xml:space="preserve"> Armenia</w:t>
      </w:r>
      <w:r w:rsidRPr="00F0673F">
        <w:rPr>
          <w:sz w:val="20"/>
          <w:szCs w:val="20"/>
        </w:rPr>
        <w:t xml:space="preserve">, </w:t>
      </w:r>
      <w:r w:rsidRPr="00F0673F">
        <w:rPr>
          <w:b/>
          <w:sz w:val="20"/>
          <w:szCs w:val="20"/>
        </w:rPr>
        <w:t>¶</w:t>
      </w:r>
      <w:r w:rsidRPr="00F0673F">
        <w:rPr>
          <w:sz w:val="20"/>
          <w:szCs w:val="20"/>
        </w:rPr>
        <w:t xml:space="preserve"> 22, U.N. Doc. </w:t>
      </w:r>
      <w:r w:rsidRPr="00F0673F">
        <w:rPr>
          <w:rFonts w:eastAsia="MS Mincho"/>
          <w:bCs/>
          <w:sz w:val="20"/>
          <w:szCs w:val="20"/>
          <w:lang w:val="en-GB"/>
        </w:rPr>
        <w:t>E/C.12/ARM/CO/2-3 (2014);</w:t>
      </w:r>
      <w:r w:rsidRPr="00F0673F">
        <w:rPr>
          <w:i/>
          <w:sz w:val="20"/>
          <w:szCs w:val="20"/>
        </w:rPr>
        <w:t xml:space="preserve"> Bosnia and Herzegovina</w:t>
      </w:r>
      <w:r w:rsidRPr="00F0673F">
        <w:rPr>
          <w:sz w:val="20"/>
          <w:szCs w:val="20"/>
        </w:rPr>
        <w:t xml:space="preserve">, </w:t>
      </w:r>
      <w:r w:rsidRPr="00F0673F">
        <w:rPr>
          <w:b/>
          <w:sz w:val="20"/>
          <w:szCs w:val="20"/>
        </w:rPr>
        <w:t>¶</w:t>
      </w:r>
      <w:r w:rsidRPr="00F0673F">
        <w:rPr>
          <w:sz w:val="20"/>
          <w:szCs w:val="20"/>
        </w:rPr>
        <w:t xml:space="preserve"> 32, U.N. Doc. </w:t>
      </w:r>
      <w:r w:rsidRPr="00F0673F">
        <w:rPr>
          <w:bCs/>
          <w:sz w:val="20"/>
          <w:szCs w:val="20"/>
        </w:rPr>
        <w:t xml:space="preserve">E/C.12/BIH/CO/2 (2013); </w:t>
      </w:r>
      <w:r w:rsidRPr="00F0673F">
        <w:rPr>
          <w:bCs/>
          <w:i/>
          <w:sz w:val="20"/>
          <w:szCs w:val="20"/>
        </w:rPr>
        <w:t xml:space="preserve"> Jamaica</w:t>
      </w:r>
      <w:r w:rsidRPr="00F0673F">
        <w:rPr>
          <w:bCs/>
          <w:sz w:val="20"/>
          <w:szCs w:val="20"/>
        </w:rPr>
        <w:t xml:space="preserve">, </w:t>
      </w:r>
      <w:r w:rsidRPr="00F0673F">
        <w:rPr>
          <w:b/>
          <w:sz w:val="20"/>
          <w:szCs w:val="20"/>
        </w:rPr>
        <w:t>¶</w:t>
      </w:r>
      <w:r w:rsidRPr="00F0673F">
        <w:rPr>
          <w:sz w:val="20"/>
          <w:szCs w:val="20"/>
        </w:rPr>
        <w:t xml:space="preserve"> 29</w:t>
      </w:r>
      <w:r w:rsidRPr="00F0673F">
        <w:rPr>
          <w:bCs/>
          <w:sz w:val="20"/>
          <w:szCs w:val="20"/>
        </w:rPr>
        <w:t xml:space="preserve">, U.N. Doc. </w:t>
      </w:r>
      <w:r w:rsidRPr="00F0673F">
        <w:rPr>
          <w:bCs/>
          <w:sz w:val="20"/>
          <w:szCs w:val="20"/>
          <w:lang w:val="en-GB"/>
        </w:rPr>
        <w:t>E/C.12/JAM/CO/3-4 (2013);</w:t>
      </w:r>
      <w:r w:rsidRPr="00F0673F">
        <w:rPr>
          <w:bCs/>
          <w:i/>
          <w:sz w:val="20"/>
          <w:szCs w:val="20"/>
        </w:rPr>
        <w:t xml:space="preserve"> New Zealand</w:t>
      </w:r>
      <w:r w:rsidRPr="00F0673F">
        <w:rPr>
          <w:bCs/>
          <w:sz w:val="20"/>
          <w:szCs w:val="20"/>
        </w:rPr>
        <w:t xml:space="preserve">, </w:t>
      </w:r>
      <w:r w:rsidRPr="00F0673F">
        <w:rPr>
          <w:b/>
          <w:sz w:val="20"/>
          <w:szCs w:val="20"/>
        </w:rPr>
        <w:t>¶</w:t>
      </w:r>
      <w:r w:rsidRPr="00F0673F">
        <w:rPr>
          <w:sz w:val="20"/>
          <w:szCs w:val="20"/>
        </w:rPr>
        <w:t xml:space="preserve"> 28</w:t>
      </w:r>
      <w:r w:rsidRPr="00F0673F">
        <w:rPr>
          <w:bCs/>
          <w:sz w:val="20"/>
          <w:szCs w:val="20"/>
        </w:rPr>
        <w:t xml:space="preserve">, U.N. Doc. </w:t>
      </w:r>
      <w:r w:rsidRPr="00F0673F">
        <w:rPr>
          <w:bCs/>
          <w:sz w:val="20"/>
          <w:szCs w:val="20"/>
          <w:lang w:val="en-GB"/>
        </w:rPr>
        <w:t>E/C.12/NZL/CO/3 (2012);</w:t>
      </w:r>
      <w:r w:rsidRPr="00F0673F">
        <w:rPr>
          <w:bCs/>
          <w:i/>
          <w:sz w:val="20"/>
          <w:szCs w:val="20"/>
        </w:rPr>
        <w:t xml:space="preserve"> </w:t>
      </w:r>
      <w:r w:rsidRPr="00F0673F">
        <w:rPr>
          <w:i/>
          <w:sz w:val="20"/>
          <w:szCs w:val="20"/>
        </w:rPr>
        <w:t>Argentina</w:t>
      </w:r>
      <w:r w:rsidRPr="00F0673F">
        <w:rPr>
          <w:sz w:val="20"/>
          <w:szCs w:val="20"/>
        </w:rPr>
        <w:t xml:space="preserve">, </w:t>
      </w:r>
      <w:r w:rsidRPr="00F0673F">
        <w:rPr>
          <w:b/>
          <w:sz w:val="20"/>
          <w:szCs w:val="20"/>
        </w:rPr>
        <w:t>¶</w:t>
      </w:r>
      <w:r w:rsidRPr="00F0673F">
        <w:rPr>
          <w:sz w:val="20"/>
          <w:szCs w:val="20"/>
        </w:rPr>
        <w:t xml:space="preserve"> 22, U.N. Doc. </w:t>
      </w:r>
      <w:r w:rsidRPr="00F0673F">
        <w:rPr>
          <w:bCs/>
          <w:sz w:val="20"/>
          <w:szCs w:val="20"/>
          <w:lang w:val="en-GB"/>
        </w:rPr>
        <w:t xml:space="preserve">E/C.12/ARG/CO/3 (2011); </w:t>
      </w:r>
      <w:r w:rsidRPr="00F0673F">
        <w:rPr>
          <w:bCs/>
          <w:i/>
          <w:sz w:val="20"/>
          <w:szCs w:val="20"/>
          <w:lang w:val="en-GB"/>
        </w:rPr>
        <w:t>Israel</w:t>
      </w:r>
      <w:r w:rsidRPr="00F0673F">
        <w:rPr>
          <w:bCs/>
          <w:sz w:val="20"/>
          <w:szCs w:val="20"/>
          <w:lang w:val="en-GB"/>
        </w:rPr>
        <w:t xml:space="preserve">, </w:t>
      </w:r>
      <w:r w:rsidRPr="00F0673F">
        <w:rPr>
          <w:b/>
          <w:sz w:val="20"/>
          <w:szCs w:val="20"/>
        </w:rPr>
        <w:t>¶</w:t>
      </w:r>
      <w:r w:rsidRPr="00F0673F">
        <w:rPr>
          <w:sz w:val="20"/>
          <w:szCs w:val="20"/>
        </w:rPr>
        <w:t xml:space="preserve"> 19</w:t>
      </w:r>
      <w:r w:rsidRPr="00F0673F">
        <w:rPr>
          <w:bCs/>
          <w:sz w:val="20"/>
          <w:szCs w:val="20"/>
          <w:lang w:val="en-GB"/>
        </w:rPr>
        <w:t>, U.N. Doc. E/C.12/ISR/CO/3 (2011);</w:t>
      </w:r>
      <w:r w:rsidRPr="00F0673F">
        <w:rPr>
          <w:bCs/>
          <w:i/>
          <w:sz w:val="20"/>
          <w:szCs w:val="20"/>
          <w:lang w:val="en-GB"/>
        </w:rPr>
        <w:t xml:space="preserve"> Dominican Republic</w:t>
      </w:r>
      <w:r w:rsidRPr="00F0673F">
        <w:rPr>
          <w:bCs/>
          <w:sz w:val="20"/>
          <w:szCs w:val="20"/>
          <w:lang w:val="en-GB"/>
        </w:rPr>
        <w:t xml:space="preserve">, </w:t>
      </w:r>
      <w:r w:rsidRPr="00F0673F">
        <w:rPr>
          <w:b/>
          <w:sz w:val="20"/>
          <w:szCs w:val="20"/>
        </w:rPr>
        <w:t>¶</w:t>
      </w:r>
      <w:r w:rsidRPr="00F0673F">
        <w:rPr>
          <w:sz w:val="20"/>
          <w:szCs w:val="20"/>
        </w:rPr>
        <w:t xml:space="preserve"> 28</w:t>
      </w:r>
      <w:r w:rsidRPr="00F0673F">
        <w:rPr>
          <w:bCs/>
          <w:sz w:val="20"/>
          <w:szCs w:val="20"/>
          <w:lang w:val="en-GB"/>
        </w:rPr>
        <w:t>, U.N. Doc. E/C.12/DOM/CO/3 (2010);</w:t>
      </w:r>
      <w:r w:rsidRPr="00F0673F">
        <w:rPr>
          <w:bCs/>
          <w:i/>
          <w:sz w:val="20"/>
          <w:szCs w:val="20"/>
          <w:lang w:val="en-GB"/>
        </w:rPr>
        <w:t xml:space="preserve"> </w:t>
      </w:r>
      <w:r w:rsidRPr="00F0673F">
        <w:rPr>
          <w:i/>
          <w:sz w:val="20"/>
          <w:szCs w:val="20"/>
        </w:rPr>
        <w:t>Angola</w:t>
      </w:r>
      <w:r w:rsidRPr="00F0673F">
        <w:rPr>
          <w:sz w:val="20"/>
          <w:szCs w:val="20"/>
        </w:rPr>
        <w:t xml:space="preserve">, </w:t>
      </w:r>
      <w:r w:rsidRPr="00F0673F">
        <w:rPr>
          <w:b/>
          <w:sz w:val="20"/>
          <w:szCs w:val="20"/>
        </w:rPr>
        <w:t>¶</w:t>
      </w:r>
      <w:r w:rsidRPr="00F0673F">
        <w:rPr>
          <w:sz w:val="20"/>
          <w:szCs w:val="20"/>
        </w:rPr>
        <w:t xml:space="preserve"> 37, U.N. Doc. </w:t>
      </w:r>
      <w:r w:rsidRPr="00F0673F">
        <w:rPr>
          <w:bCs/>
          <w:sz w:val="20"/>
          <w:szCs w:val="20"/>
          <w:lang w:val="en-GB"/>
        </w:rPr>
        <w:t>E/C.12/AGO/CO/3</w:t>
      </w:r>
      <w:r w:rsidRPr="00F0673F">
        <w:rPr>
          <w:b/>
          <w:bCs/>
          <w:sz w:val="20"/>
          <w:szCs w:val="20"/>
          <w:lang w:val="en-GB"/>
        </w:rPr>
        <w:t xml:space="preserve"> </w:t>
      </w:r>
      <w:r w:rsidRPr="00F0673F">
        <w:rPr>
          <w:bCs/>
          <w:sz w:val="20"/>
          <w:szCs w:val="20"/>
          <w:lang w:val="en-GB"/>
        </w:rPr>
        <w:t xml:space="preserve">(2008); </w:t>
      </w:r>
      <w:r w:rsidRPr="00F0673F">
        <w:rPr>
          <w:bCs/>
          <w:i/>
          <w:sz w:val="20"/>
          <w:szCs w:val="20"/>
          <w:lang w:val="en-GB"/>
        </w:rPr>
        <w:t>India</w:t>
      </w:r>
      <w:r w:rsidRPr="00F0673F">
        <w:rPr>
          <w:bCs/>
          <w:sz w:val="20"/>
          <w:szCs w:val="20"/>
          <w:lang w:val="en-GB"/>
        </w:rPr>
        <w:t xml:space="preserve">, </w:t>
      </w:r>
      <w:r w:rsidRPr="00F0673F">
        <w:rPr>
          <w:b/>
          <w:sz w:val="20"/>
          <w:szCs w:val="20"/>
        </w:rPr>
        <w:t>¶</w:t>
      </w:r>
      <w:r w:rsidRPr="00F0673F">
        <w:rPr>
          <w:sz w:val="20"/>
          <w:szCs w:val="20"/>
        </w:rPr>
        <w:t xml:space="preserve"> 77</w:t>
      </w:r>
      <w:r w:rsidRPr="00F0673F">
        <w:rPr>
          <w:bCs/>
          <w:sz w:val="20"/>
          <w:szCs w:val="20"/>
          <w:lang w:val="en-GB"/>
        </w:rPr>
        <w:t>, U.N. Doc. E/C.12/IND/CO/5 (2008);</w:t>
      </w:r>
      <w:r w:rsidRPr="00F0673F">
        <w:rPr>
          <w:bCs/>
          <w:i/>
          <w:sz w:val="20"/>
          <w:szCs w:val="20"/>
          <w:lang w:val="en-GB"/>
        </w:rPr>
        <w:t xml:space="preserve"> </w:t>
      </w:r>
      <w:r w:rsidRPr="00F0673F">
        <w:rPr>
          <w:i/>
          <w:sz w:val="20"/>
          <w:szCs w:val="20"/>
        </w:rPr>
        <w:t>China</w:t>
      </w:r>
      <w:r w:rsidRPr="00F0673F">
        <w:rPr>
          <w:sz w:val="20"/>
          <w:szCs w:val="20"/>
        </w:rPr>
        <w:t xml:space="preserve">, </w:t>
      </w:r>
      <w:r w:rsidRPr="00F0673F">
        <w:rPr>
          <w:b/>
          <w:sz w:val="20"/>
          <w:szCs w:val="20"/>
        </w:rPr>
        <w:t>¶</w:t>
      </w:r>
      <w:r w:rsidRPr="00F0673F">
        <w:rPr>
          <w:sz w:val="20"/>
          <w:szCs w:val="20"/>
        </w:rPr>
        <w:t xml:space="preserve"> 100, U.N. Doc. </w:t>
      </w:r>
      <w:r w:rsidRPr="00F0673F">
        <w:rPr>
          <w:sz w:val="20"/>
          <w:szCs w:val="20"/>
        </w:rPr>
        <w:fldChar w:fldCharType="begin"/>
      </w:r>
      <w:r w:rsidRPr="00F0673F">
        <w:rPr>
          <w:sz w:val="20"/>
          <w:szCs w:val="20"/>
        </w:rPr>
        <w:instrText xml:space="preserve"> FILLIN "Symbol" \* MERGEFORMAT </w:instrText>
      </w:r>
      <w:r w:rsidRPr="00F0673F">
        <w:rPr>
          <w:sz w:val="20"/>
          <w:szCs w:val="20"/>
        </w:rPr>
        <w:fldChar w:fldCharType="separate"/>
      </w:r>
      <w:r w:rsidRPr="00F0673F">
        <w:rPr>
          <w:bCs/>
          <w:sz w:val="20"/>
          <w:szCs w:val="20"/>
          <w:lang w:val="en-GB"/>
        </w:rPr>
        <w:t>E/C.12/1/Add.107</w:t>
      </w:r>
      <w:r w:rsidRPr="00F0673F">
        <w:rPr>
          <w:bCs/>
          <w:sz w:val="20"/>
          <w:szCs w:val="20"/>
          <w:lang w:val="en-GB"/>
        </w:rPr>
        <w:fldChar w:fldCharType="end"/>
      </w:r>
      <w:r w:rsidRPr="00F0673F">
        <w:rPr>
          <w:bCs/>
          <w:sz w:val="20"/>
          <w:szCs w:val="20"/>
          <w:lang w:val="en-GB"/>
        </w:rPr>
        <w:t xml:space="preserve"> (2005); </w:t>
      </w:r>
      <w:r w:rsidRPr="00F0673F">
        <w:rPr>
          <w:bCs/>
          <w:i/>
          <w:sz w:val="20"/>
          <w:szCs w:val="20"/>
          <w:lang w:val="en-GB"/>
        </w:rPr>
        <w:t>Chile</w:t>
      </w:r>
      <w:r w:rsidRPr="00F0673F">
        <w:rPr>
          <w:bCs/>
          <w:sz w:val="20"/>
          <w:szCs w:val="20"/>
          <w:lang w:val="en-GB"/>
        </w:rPr>
        <w:t xml:space="preserve">, </w:t>
      </w:r>
      <w:r w:rsidRPr="00F0673F">
        <w:rPr>
          <w:b/>
          <w:sz w:val="20"/>
          <w:szCs w:val="20"/>
        </w:rPr>
        <w:t>¶</w:t>
      </w:r>
      <w:r w:rsidRPr="00F0673F">
        <w:rPr>
          <w:sz w:val="20"/>
          <w:szCs w:val="20"/>
        </w:rPr>
        <w:t xml:space="preserve"> 54</w:t>
      </w:r>
      <w:r w:rsidRPr="00F0673F">
        <w:rPr>
          <w:bCs/>
          <w:sz w:val="20"/>
          <w:szCs w:val="20"/>
          <w:lang w:val="en-GB"/>
        </w:rPr>
        <w:t xml:space="preserve">, U.N. Doc. </w:t>
      </w:r>
      <w:r w:rsidRPr="00F0673F">
        <w:rPr>
          <w:sz w:val="20"/>
          <w:szCs w:val="20"/>
        </w:rPr>
        <w:fldChar w:fldCharType="begin"/>
      </w:r>
      <w:r w:rsidRPr="00F0673F">
        <w:rPr>
          <w:sz w:val="20"/>
          <w:szCs w:val="20"/>
        </w:rPr>
        <w:instrText xml:space="preserve"> FILLIN "Symbol" \* MERGEFORMAT </w:instrText>
      </w:r>
      <w:r w:rsidRPr="00F0673F">
        <w:rPr>
          <w:sz w:val="20"/>
          <w:szCs w:val="20"/>
        </w:rPr>
        <w:fldChar w:fldCharType="separate"/>
      </w:r>
      <w:r w:rsidRPr="00F0673F">
        <w:rPr>
          <w:bCs/>
          <w:sz w:val="20"/>
          <w:szCs w:val="20"/>
          <w:lang w:val="en-GB"/>
        </w:rPr>
        <w:t>E/C.12/1/Add.105</w:t>
      </w:r>
      <w:r w:rsidRPr="00F0673F">
        <w:rPr>
          <w:bCs/>
          <w:sz w:val="20"/>
          <w:szCs w:val="20"/>
          <w:lang w:val="en-GB"/>
        </w:rPr>
        <w:fldChar w:fldCharType="end"/>
      </w:r>
      <w:r w:rsidRPr="00F0673F">
        <w:rPr>
          <w:bCs/>
          <w:sz w:val="20"/>
          <w:szCs w:val="20"/>
          <w:lang w:val="en-GB"/>
        </w:rPr>
        <w:t xml:space="preserve"> (2004);</w:t>
      </w:r>
      <w:r w:rsidRPr="00F0673F">
        <w:rPr>
          <w:bCs/>
          <w:i/>
          <w:sz w:val="20"/>
          <w:szCs w:val="20"/>
          <w:lang w:val="en-GB"/>
        </w:rPr>
        <w:t xml:space="preserve"> Benin</w:t>
      </w:r>
      <w:r w:rsidRPr="00F0673F">
        <w:rPr>
          <w:bCs/>
          <w:sz w:val="20"/>
          <w:szCs w:val="20"/>
          <w:lang w:val="en-GB"/>
        </w:rPr>
        <w:t xml:space="preserve">, </w:t>
      </w:r>
      <w:r w:rsidRPr="00F0673F">
        <w:rPr>
          <w:b/>
          <w:sz w:val="20"/>
          <w:szCs w:val="20"/>
        </w:rPr>
        <w:t>¶</w:t>
      </w:r>
      <w:r w:rsidRPr="00F0673F">
        <w:rPr>
          <w:sz w:val="20"/>
          <w:szCs w:val="20"/>
        </w:rPr>
        <w:t xml:space="preserve"> 42</w:t>
      </w:r>
      <w:r w:rsidRPr="00F0673F">
        <w:rPr>
          <w:bCs/>
          <w:sz w:val="20"/>
          <w:szCs w:val="20"/>
          <w:lang w:val="en-GB"/>
        </w:rPr>
        <w:t xml:space="preserve">, U.N. Doc. E/C.12/1/Add.78 (2002); </w:t>
      </w:r>
      <w:r w:rsidRPr="00F0673F">
        <w:rPr>
          <w:bCs/>
          <w:i/>
          <w:sz w:val="20"/>
          <w:szCs w:val="20"/>
          <w:lang w:val="en-GB"/>
        </w:rPr>
        <w:t>Bolivia</w:t>
      </w:r>
      <w:r w:rsidRPr="00F0673F">
        <w:rPr>
          <w:bCs/>
          <w:sz w:val="20"/>
          <w:szCs w:val="20"/>
          <w:lang w:val="en-GB"/>
        </w:rPr>
        <w:t xml:space="preserve">, </w:t>
      </w:r>
      <w:r w:rsidRPr="00F0673F">
        <w:rPr>
          <w:b/>
          <w:sz w:val="20"/>
          <w:szCs w:val="20"/>
        </w:rPr>
        <w:t>¶</w:t>
      </w:r>
      <w:r w:rsidRPr="00F0673F">
        <w:rPr>
          <w:sz w:val="20"/>
          <w:szCs w:val="20"/>
        </w:rPr>
        <w:t xml:space="preserve"> 43</w:t>
      </w:r>
      <w:r w:rsidRPr="00F0673F">
        <w:rPr>
          <w:bCs/>
          <w:sz w:val="20"/>
          <w:szCs w:val="20"/>
          <w:lang w:val="en-GB"/>
        </w:rPr>
        <w:t xml:space="preserve">, U.N. Doc. E/C.12/1/Add.60 (2001); </w:t>
      </w:r>
      <w:r w:rsidRPr="00F0673F">
        <w:rPr>
          <w:bCs/>
          <w:i/>
          <w:sz w:val="20"/>
          <w:szCs w:val="20"/>
          <w:lang w:val="en-GB"/>
        </w:rPr>
        <w:t>Ukraine</w:t>
      </w:r>
      <w:r w:rsidRPr="00F0673F">
        <w:rPr>
          <w:bCs/>
          <w:sz w:val="20"/>
          <w:szCs w:val="20"/>
          <w:lang w:val="en-GB"/>
        </w:rPr>
        <w:t xml:space="preserve">, </w:t>
      </w:r>
      <w:r w:rsidRPr="00F0673F">
        <w:rPr>
          <w:b/>
          <w:sz w:val="20"/>
          <w:szCs w:val="20"/>
        </w:rPr>
        <w:t>¶</w:t>
      </w:r>
      <w:r w:rsidRPr="00F0673F">
        <w:rPr>
          <w:sz w:val="20"/>
          <w:szCs w:val="20"/>
        </w:rPr>
        <w:t xml:space="preserve"> 31</w:t>
      </w:r>
      <w:r w:rsidRPr="00F0673F">
        <w:rPr>
          <w:bCs/>
          <w:sz w:val="20"/>
          <w:szCs w:val="20"/>
          <w:lang w:val="en-GB"/>
        </w:rPr>
        <w:t>, U.N. Doc. E/C.12/1/Add.65 (2001).</w:t>
      </w:r>
    </w:p>
  </w:endnote>
  <w:endnote w:id="88">
    <w:p w14:paraId="66222BE5" w14:textId="0E897BB3"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sidR="001E2B36">
        <w:rPr>
          <w:i/>
          <w:sz w:val="20"/>
          <w:szCs w:val="20"/>
        </w:rPr>
        <w:t xml:space="preserve"> to</w:t>
      </w:r>
      <w:r w:rsidRPr="00F0673F">
        <w:rPr>
          <w:i/>
          <w:sz w:val="20"/>
          <w:szCs w:val="20"/>
        </w:rPr>
        <w:t>: Monaco</w:t>
      </w:r>
      <w:r w:rsidRPr="00F0673F">
        <w:rPr>
          <w:sz w:val="20"/>
          <w:szCs w:val="20"/>
        </w:rPr>
        <w:t xml:space="preserve">, </w:t>
      </w:r>
      <w:r w:rsidRPr="00F0673F">
        <w:rPr>
          <w:b/>
          <w:sz w:val="20"/>
          <w:szCs w:val="20"/>
        </w:rPr>
        <w:t>¶</w:t>
      </w:r>
      <w:r w:rsidRPr="00F0673F">
        <w:rPr>
          <w:sz w:val="20"/>
          <w:szCs w:val="20"/>
        </w:rPr>
        <w:t xml:space="preserve"> 21, U.N. Doc. </w:t>
      </w:r>
      <w:r w:rsidRPr="00F0673F">
        <w:rPr>
          <w:bCs/>
          <w:sz w:val="20"/>
          <w:szCs w:val="20"/>
          <w:lang w:val="en-GB"/>
        </w:rPr>
        <w:t xml:space="preserve">E/C.12/MCO/CO/2-3 (2014); </w:t>
      </w:r>
      <w:r w:rsidRPr="00F0673F">
        <w:rPr>
          <w:bCs/>
          <w:i/>
          <w:sz w:val="20"/>
          <w:szCs w:val="20"/>
          <w:lang w:val="en-GB"/>
        </w:rPr>
        <w:t>Tanzania</w:t>
      </w:r>
      <w:r w:rsidRPr="00F0673F">
        <w:rPr>
          <w:bCs/>
          <w:sz w:val="20"/>
          <w:szCs w:val="20"/>
          <w:lang w:val="en-GB"/>
        </w:rPr>
        <w:t xml:space="preserve">, </w:t>
      </w:r>
      <w:r w:rsidRPr="00F0673F">
        <w:rPr>
          <w:b/>
          <w:sz w:val="20"/>
          <w:szCs w:val="20"/>
        </w:rPr>
        <w:t>¶</w:t>
      </w:r>
      <w:r w:rsidRPr="00F0673F">
        <w:rPr>
          <w:sz w:val="20"/>
          <w:szCs w:val="20"/>
        </w:rPr>
        <w:t xml:space="preserve"> 24</w:t>
      </w:r>
      <w:r w:rsidRPr="00F0673F">
        <w:rPr>
          <w:bCs/>
          <w:sz w:val="20"/>
          <w:szCs w:val="20"/>
          <w:lang w:val="en-GB"/>
        </w:rPr>
        <w:t>, U.N. Doc. E/C.12/TZA/CO/1-3 (2012);</w:t>
      </w:r>
      <w:r w:rsidRPr="00F0673F">
        <w:rPr>
          <w:bCs/>
          <w:i/>
          <w:sz w:val="20"/>
          <w:szCs w:val="20"/>
          <w:lang w:val="en-GB"/>
        </w:rPr>
        <w:t xml:space="preserve"> </w:t>
      </w:r>
      <w:r w:rsidRPr="00F0673F">
        <w:rPr>
          <w:i/>
          <w:sz w:val="20"/>
          <w:szCs w:val="20"/>
        </w:rPr>
        <w:t>Argentina</w:t>
      </w:r>
      <w:r w:rsidRPr="00F0673F">
        <w:rPr>
          <w:sz w:val="20"/>
          <w:szCs w:val="20"/>
        </w:rPr>
        <w:t xml:space="preserve">, </w:t>
      </w:r>
      <w:r w:rsidRPr="00F0673F">
        <w:rPr>
          <w:b/>
          <w:sz w:val="20"/>
          <w:szCs w:val="20"/>
        </w:rPr>
        <w:t>¶</w:t>
      </w:r>
      <w:r w:rsidRPr="00F0673F">
        <w:rPr>
          <w:sz w:val="20"/>
          <w:szCs w:val="20"/>
        </w:rPr>
        <w:t xml:space="preserve"> 22, U.N. Doc. </w:t>
      </w:r>
      <w:r w:rsidRPr="00F0673F">
        <w:rPr>
          <w:bCs/>
          <w:sz w:val="20"/>
          <w:szCs w:val="20"/>
          <w:lang w:val="en-GB"/>
        </w:rPr>
        <w:t>E/C.12/ARG/CO/3 (2011).</w:t>
      </w:r>
    </w:p>
  </w:endnote>
  <w:endnote w:id="89">
    <w:p w14:paraId="47FAEF0B" w14:textId="5A100CFE"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sidR="001E2B36">
        <w:rPr>
          <w:i/>
          <w:sz w:val="20"/>
          <w:szCs w:val="20"/>
        </w:rPr>
        <w:t xml:space="preserve"> to</w:t>
      </w:r>
      <w:r w:rsidRPr="00F0673F">
        <w:rPr>
          <w:i/>
          <w:sz w:val="20"/>
          <w:szCs w:val="20"/>
        </w:rPr>
        <w:t>: Honduras</w:t>
      </w:r>
      <w:r w:rsidRPr="00F0673F">
        <w:rPr>
          <w:sz w:val="20"/>
          <w:szCs w:val="20"/>
        </w:rPr>
        <w:t xml:space="preserve">, </w:t>
      </w:r>
      <w:r w:rsidRPr="00F0673F">
        <w:rPr>
          <w:b/>
          <w:sz w:val="20"/>
          <w:szCs w:val="20"/>
        </w:rPr>
        <w:t>¶</w:t>
      </w:r>
      <w:r w:rsidRPr="00F0673F">
        <w:rPr>
          <w:sz w:val="20"/>
          <w:szCs w:val="20"/>
        </w:rPr>
        <w:t xml:space="preserve"> 54, U.N. Doc. E/C.12/HND/CO/2 (2016); </w:t>
      </w:r>
      <w:r w:rsidRPr="00F0673F">
        <w:rPr>
          <w:i/>
          <w:sz w:val="20"/>
          <w:szCs w:val="20"/>
        </w:rPr>
        <w:t>Burkina Faso</w:t>
      </w:r>
      <w:r w:rsidRPr="00F0673F">
        <w:rPr>
          <w:sz w:val="20"/>
          <w:szCs w:val="20"/>
        </w:rPr>
        <w:t xml:space="preserve">, </w:t>
      </w:r>
      <w:r w:rsidRPr="00F0673F">
        <w:rPr>
          <w:b/>
          <w:sz w:val="20"/>
          <w:szCs w:val="20"/>
        </w:rPr>
        <w:t>¶</w:t>
      </w:r>
      <w:r w:rsidRPr="00F0673F">
        <w:rPr>
          <w:sz w:val="20"/>
          <w:szCs w:val="20"/>
        </w:rPr>
        <w:t xml:space="preserve"> 47, U.N. Doc. E/C.12/BFA/CO/1 (2016); </w:t>
      </w:r>
      <w:r w:rsidRPr="00F0673F">
        <w:rPr>
          <w:i/>
          <w:sz w:val="20"/>
          <w:szCs w:val="20"/>
        </w:rPr>
        <w:t>Poland</w:t>
      </w:r>
      <w:r w:rsidRPr="00F0673F">
        <w:rPr>
          <w:sz w:val="20"/>
          <w:szCs w:val="20"/>
        </w:rPr>
        <w:t xml:space="preserve">, </w:t>
      </w:r>
      <w:r w:rsidRPr="00F0673F">
        <w:rPr>
          <w:b/>
          <w:sz w:val="20"/>
          <w:szCs w:val="20"/>
        </w:rPr>
        <w:t>¶</w:t>
      </w:r>
      <w:r w:rsidRPr="00F0673F">
        <w:rPr>
          <w:sz w:val="20"/>
          <w:szCs w:val="20"/>
        </w:rPr>
        <w:t xml:space="preserve"> 49, U.N. Doc. E/C.12/POL/CO/6 (2016); </w:t>
      </w:r>
      <w:r w:rsidRPr="00F0673F">
        <w:rPr>
          <w:i/>
          <w:sz w:val="20"/>
          <w:szCs w:val="20"/>
        </w:rPr>
        <w:t>Chile</w:t>
      </w:r>
      <w:r w:rsidRPr="00F0673F">
        <w:rPr>
          <w:sz w:val="20"/>
          <w:szCs w:val="20"/>
        </w:rPr>
        <w:t xml:space="preserve">, </w:t>
      </w:r>
      <w:r w:rsidRPr="00F0673F">
        <w:rPr>
          <w:b/>
          <w:sz w:val="20"/>
          <w:szCs w:val="20"/>
        </w:rPr>
        <w:t>¶</w:t>
      </w:r>
      <w:r w:rsidRPr="00F0673F">
        <w:rPr>
          <w:sz w:val="20"/>
          <w:szCs w:val="20"/>
        </w:rPr>
        <w:t xml:space="preserve"> 29, U.N. Doc. E/C.12/CHL/CO/4 (2015); </w:t>
      </w:r>
      <w:r w:rsidRPr="00F0673F">
        <w:rPr>
          <w:i/>
          <w:sz w:val="20"/>
          <w:szCs w:val="20"/>
        </w:rPr>
        <w:t>Guyana</w:t>
      </w:r>
      <w:r w:rsidRPr="00F0673F">
        <w:rPr>
          <w:sz w:val="20"/>
          <w:szCs w:val="20"/>
        </w:rPr>
        <w:t xml:space="preserve">, </w:t>
      </w:r>
      <w:r w:rsidRPr="00F0673F">
        <w:rPr>
          <w:b/>
          <w:sz w:val="20"/>
          <w:szCs w:val="20"/>
        </w:rPr>
        <w:t>¶</w:t>
      </w:r>
      <w:r w:rsidRPr="00F0673F">
        <w:rPr>
          <w:sz w:val="20"/>
          <w:szCs w:val="20"/>
        </w:rPr>
        <w:t xml:space="preserve"> 51, U.N. Doc. </w:t>
      </w:r>
      <w:r w:rsidRPr="00F0673F">
        <w:rPr>
          <w:sz w:val="20"/>
          <w:szCs w:val="20"/>
          <w:lang w:val="en-GB"/>
        </w:rPr>
        <w:t>E/C.12/GUY/CO/2-4 (2015);</w:t>
      </w:r>
      <w:r w:rsidRPr="00F0673F">
        <w:rPr>
          <w:sz w:val="20"/>
          <w:szCs w:val="20"/>
        </w:rPr>
        <w:t xml:space="preserve"> </w:t>
      </w:r>
      <w:r w:rsidRPr="00F0673F">
        <w:rPr>
          <w:i/>
          <w:sz w:val="20"/>
          <w:szCs w:val="20"/>
        </w:rPr>
        <w:t>Uganda</w:t>
      </w:r>
      <w:r w:rsidRPr="00F0673F">
        <w:rPr>
          <w:sz w:val="20"/>
          <w:szCs w:val="20"/>
        </w:rPr>
        <w:t xml:space="preserve">, </w:t>
      </w:r>
      <w:r w:rsidRPr="00F0673F">
        <w:rPr>
          <w:b/>
          <w:sz w:val="20"/>
          <w:szCs w:val="20"/>
        </w:rPr>
        <w:t>¶</w:t>
      </w:r>
      <w:r w:rsidRPr="00F0673F">
        <w:rPr>
          <w:sz w:val="20"/>
          <w:szCs w:val="20"/>
        </w:rPr>
        <w:t xml:space="preserve"> 35, U.N. Doc. </w:t>
      </w:r>
      <w:r w:rsidRPr="00F0673F">
        <w:rPr>
          <w:sz w:val="20"/>
          <w:szCs w:val="20"/>
          <w:lang w:val="en-GB"/>
        </w:rPr>
        <w:t xml:space="preserve">E/C.12/UGA/CO/1 (2015); </w:t>
      </w:r>
      <w:r w:rsidRPr="00F0673F">
        <w:rPr>
          <w:i/>
          <w:sz w:val="20"/>
          <w:szCs w:val="20"/>
        </w:rPr>
        <w:t>Romania</w:t>
      </w:r>
      <w:r w:rsidRPr="00F0673F">
        <w:rPr>
          <w:sz w:val="20"/>
          <w:szCs w:val="20"/>
        </w:rPr>
        <w:t xml:space="preserve">, </w:t>
      </w:r>
      <w:r w:rsidRPr="00F0673F">
        <w:rPr>
          <w:b/>
          <w:sz w:val="20"/>
          <w:szCs w:val="20"/>
        </w:rPr>
        <w:t>¶</w:t>
      </w:r>
      <w:r w:rsidRPr="00F0673F">
        <w:rPr>
          <w:sz w:val="20"/>
          <w:szCs w:val="20"/>
        </w:rPr>
        <w:t xml:space="preserve"> 22, U.N. Doc. </w:t>
      </w:r>
      <w:r w:rsidRPr="00F0673F">
        <w:rPr>
          <w:rFonts w:eastAsia="MS Mincho"/>
          <w:bCs/>
          <w:sz w:val="20"/>
          <w:szCs w:val="20"/>
          <w:lang w:val="en-GB"/>
        </w:rPr>
        <w:t>E/C.12/ROU/CO/3-5 (2014);</w:t>
      </w:r>
      <w:r w:rsidRPr="00F0673F">
        <w:rPr>
          <w:i/>
          <w:sz w:val="20"/>
          <w:szCs w:val="20"/>
        </w:rPr>
        <w:t xml:space="preserve"> Slovakia</w:t>
      </w:r>
      <w:r w:rsidRPr="00F0673F">
        <w:rPr>
          <w:sz w:val="20"/>
          <w:szCs w:val="20"/>
        </w:rPr>
        <w:t xml:space="preserve">, </w:t>
      </w:r>
      <w:r w:rsidRPr="00F0673F">
        <w:rPr>
          <w:b/>
          <w:sz w:val="20"/>
          <w:szCs w:val="20"/>
        </w:rPr>
        <w:t>¶</w:t>
      </w:r>
      <w:r w:rsidRPr="00F0673F">
        <w:rPr>
          <w:sz w:val="20"/>
          <w:szCs w:val="20"/>
        </w:rPr>
        <w:t xml:space="preserve"> 25, U.N. Doc. </w:t>
      </w:r>
      <w:r w:rsidRPr="00F0673F">
        <w:rPr>
          <w:bCs/>
          <w:sz w:val="20"/>
          <w:szCs w:val="20"/>
          <w:lang w:val="en-GB"/>
        </w:rPr>
        <w:t>E/C.12/SVK/CO/2 (2012);</w:t>
      </w:r>
      <w:r w:rsidRPr="00F0673F">
        <w:rPr>
          <w:i/>
          <w:sz w:val="20"/>
          <w:szCs w:val="20"/>
        </w:rPr>
        <w:t xml:space="preserve"> </w:t>
      </w:r>
      <w:r w:rsidRPr="00F0673F">
        <w:rPr>
          <w:bCs/>
          <w:i/>
          <w:sz w:val="20"/>
          <w:szCs w:val="20"/>
          <w:lang w:val="en-GB"/>
        </w:rPr>
        <w:t>Tanzania</w:t>
      </w:r>
      <w:r w:rsidRPr="00F0673F">
        <w:rPr>
          <w:bCs/>
          <w:sz w:val="20"/>
          <w:szCs w:val="20"/>
          <w:lang w:val="en-GB"/>
        </w:rPr>
        <w:t xml:space="preserve">, </w:t>
      </w:r>
      <w:r w:rsidRPr="00F0673F">
        <w:rPr>
          <w:b/>
          <w:sz w:val="20"/>
          <w:szCs w:val="20"/>
        </w:rPr>
        <w:t>¶</w:t>
      </w:r>
      <w:r w:rsidRPr="00F0673F">
        <w:rPr>
          <w:sz w:val="20"/>
          <w:szCs w:val="20"/>
        </w:rPr>
        <w:t xml:space="preserve"> 24</w:t>
      </w:r>
      <w:r w:rsidRPr="00F0673F">
        <w:rPr>
          <w:bCs/>
          <w:sz w:val="20"/>
          <w:szCs w:val="20"/>
          <w:lang w:val="en-GB"/>
        </w:rPr>
        <w:t>, U.N. Doc. E/C.12/TZA/CO/1-3 (2012);</w:t>
      </w:r>
      <w:r w:rsidRPr="00F0673F">
        <w:rPr>
          <w:bCs/>
          <w:i/>
          <w:sz w:val="20"/>
          <w:szCs w:val="20"/>
          <w:lang w:val="en-GB"/>
        </w:rPr>
        <w:t xml:space="preserve"> </w:t>
      </w:r>
      <w:r w:rsidRPr="00F0673F">
        <w:rPr>
          <w:i/>
          <w:sz w:val="20"/>
          <w:szCs w:val="20"/>
        </w:rPr>
        <w:t>Russian Federation</w:t>
      </w:r>
      <w:r w:rsidRPr="00F0673F">
        <w:rPr>
          <w:sz w:val="20"/>
          <w:szCs w:val="20"/>
        </w:rPr>
        <w:t xml:space="preserve">, </w:t>
      </w:r>
      <w:r w:rsidRPr="00F0673F">
        <w:rPr>
          <w:b/>
          <w:sz w:val="20"/>
          <w:szCs w:val="20"/>
        </w:rPr>
        <w:t>¶</w:t>
      </w:r>
      <w:r w:rsidRPr="00F0673F">
        <w:rPr>
          <w:sz w:val="20"/>
          <w:szCs w:val="20"/>
        </w:rPr>
        <w:t xml:space="preserve"> 30, U.N. Doc. </w:t>
      </w:r>
      <w:r w:rsidRPr="00F0673F">
        <w:rPr>
          <w:bCs/>
          <w:sz w:val="20"/>
          <w:szCs w:val="20"/>
          <w:lang w:val="es-ES"/>
        </w:rPr>
        <w:t>E/C.12/RUS/CO/5 (2011);</w:t>
      </w:r>
      <w:r w:rsidRPr="00F0673F">
        <w:rPr>
          <w:i/>
          <w:sz w:val="20"/>
          <w:szCs w:val="20"/>
        </w:rPr>
        <w:t xml:space="preserve"> Sri Lanka</w:t>
      </w:r>
      <w:r w:rsidRPr="00F0673F">
        <w:rPr>
          <w:sz w:val="20"/>
          <w:szCs w:val="20"/>
        </w:rPr>
        <w:t xml:space="preserve">, </w:t>
      </w:r>
      <w:r w:rsidRPr="00F0673F">
        <w:rPr>
          <w:b/>
          <w:sz w:val="20"/>
          <w:szCs w:val="20"/>
        </w:rPr>
        <w:t>¶</w:t>
      </w:r>
      <w:r w:rsidRPr="00F0673F">
        <w:rPr>
          <w:sz w:val="20"/>
          <w:szCs w:val="20"/>
        </w:rPr>
        <w:t xml:space="preserve"> 34, U.N. Doc. </w:t>
      </w:r>
      <w:r w:rsidRPr="00F0673F">
        <w:rPr>
          <w:bCs/>
          <w:sz w:val="20"/>
          <w:szCs w:val="20"/>
          <w:lang w:val="es-ES_tradnl"/>
        </w:rPr>
        <w:t>E/C.12/LKA/CO/2-4 (2010);</w:t>
      </w:r>
      <w:r w:rsidRPr="00F0673F">
        <w:rPr>
          <w:i/>
          <w:sz w:val="20"/>
          <w:szCs w:val="20"/>
        </w:rPr>
        <w:t xml:space="preserve"> Uruguay</w:t>
      </w:r>
      <w:r w:rsidRPr="00F0673F">
        <w:rPr>
          <w:sz w:val="20"/>
          <w:szCs w:val="20"/>
        </w:rPr>
        <w:t xml:space="preserve">, </w:t>
      </w:r>
      <w:r w:rsidRPr="00F0673F">
        <w:rPr>
          <w:b/>
          <w:sz w:val="20"/>
          <w:szCs w:val="20"/>
        </w:rPr>
        <w:t>¶</w:t>
      </w:r>
      <w:r w:rsidRPr="00F0673F">
        <w:rPr>
          <w:sz w:val="20"/>
          <w:szCs w:val="20"/>
        </w:rPr>
        <w:t xml:space="preserve"> 24, U.N. Doc. </w:t>
      </w:r>
      <w:r w:rsidRPr="00F0673F">
        <w:rPr>
          <w:bCs/>
          <w:sz w:val="20"/>
          <w:szCs w:val="20"/>
          <w:lang w:val="en-GB"/>
        </w:rPr>
        <w:t>E/C.12/URY/CO/3-4 (2010);</w:t>
      </w:r>
      <w:r w:rsidRPr="00F0673F">
        <w:rPr>
          <w:i/>
          <w:sz w:val="20"/>
          <w:szCs w:val="20"/>
        </w:rPr>
        <w:t xml:space="preserve"> Netherlands</w:t>
      </w:r>
      <w:r w:rsidRPr="00F0673F">
        <w:rPr>
          <w:sz w:val="20"/>
          <w:szCs w:val="20"/>
        </w:rPr>
        <w:t xml:space="preserve">, </w:t>
      </w:r>
      <w:r w:rsidRPr="00F0673F">
        <w:rPr>
          <w:b/>
          <w:sz w:val="20"/>
          <w:szCs w:val="20"/>
        </w:rPr>
        <w:t>¶</w:t>
      </w:r>
      <w:r w:rsidRPr="00F0673F">
        <w:rPr>
          <w:sz w:val="20"/>
          <w:szCs w:val="20"/>
        </w:rPr>
        <w:t xml:space="preserve"> 27, U.N. Doc. </w:t>
      </w:r>
      <w:r w:rsidRPr="00F0673F">
        <w:rPr>
          <w:bCs/>
          <w:sz w:val="20"/>
          <w:szCs w:val="20"/>
          <w:lang w:val="en-GB"/>
        </w:rPr>
        <w:t>E/C.12/NDL/CO/4-5 (2010);</w:t>
      </w:r>
      <w:r w:rsidRPr="00F0673F">
        <w:rPr>
          <w:i/>
          <w:sz w:val="20"/>
          <w:szCs w:val="20"/>
        </w:rPr>
        <w:t xml:space="preserve"> Switzerland</w:t>
      </w:r>
      <w:r w:rsidRPr="00F0673F">
        <w:rPr>
          <w:sz w:val="20"/>
          <w:szCs w:val="20"/>
        </w:rPr>
        <w:t xml:space="preserve">, </w:t>
      </w:r>
      <w:r w:rsidRPr="00F0673F">
        <w:rPr>
          <w:b/>
          <w:sz w:val="20"/>
          <w:szCs w:val="20"/>
        </w:rPr>
        <w:t>¶</w:t>
      </w:r>
      <w:r w:rsidRPr="00F0673F">
        <w:rPr>
          <w:sz w:val="20"/>
          <w:szCs w:val="20"/>
        </w:rPr>
        <w:t xml:space="preserve"> 20, U.N. Doc. </w:t>
      </w:r>
      <w:r w:rsidRPr="00F0673F">
        <w:rPr>
          <w:bCs/>
          <w:sz w:val="20"/>
          <w:szCs w:val="20"/>
          <w:lang w:val="en-GB"/>
        </w:rPr>
        <w:t>E/C.12/CHE/CO/2-3 (2010);</w:t>
      </w:r>
      <w:r w:rsidRPr="00F0673F">
        <w:rPr>
          <w:i/>
          <w:sz w:val="20"/>
          <w:szCs w:val="20"/>
        </w:rPr>
        <w:t xml:space="preserve"> Kazakhstan</w:t>
      </w:r>
      <w:r w:rsidRPr="00F0673F">
        <w:rPr>
          <w:sz w:val="20"/>
          <w:szCs w:val="20"/>
        </w:rPr>
        <w:t xml:space="preserve">, </w:t>
      </w:r>
      <w:r w:rsidRPr="00F0673F">
        <w:rPr>
          <w:b/>
          <w:sz w:val="20"/>
          <w:szCs w:val="20"/>
        </w:rPr>
        <w:t>¶</w:t>
      </w:r>
      <w:r w:rsidRPr="00F0673F">
        <w:rPr>
          <w:sz w:val="20"/>
          <w:szCs w:val="20"/>
        </w:rPr>
        <w:t xml:space="preserve"> 33, U.N. Doc. </w:t>
      </w:r>
      <w:r w:rsidRPr="00F0673F">
        <w:rPr>
          <w:bCs/>
          <w:sz w:val="20"/>
          <w:szCs w:val="20"/>
          <w:lang w:val="en-GB"/>
        </w:rPr>
        <w:t>E/C.12/KAZ/CO/1 (2010);</w:t>
      </w:r>
      <w:r w:rsidRPr="00F0673F">
        <w:rPr>
          <w:i/>
          <w:sz w:val="20"/>
          <w:szCs w:val="20"/>
        </w:rPr>
        <w:t xml:space="preserve"> Poland</w:t>
      </w:r>
      <w:r w:rsidRPr="00F0673F">
        <w:rPr>
          <w:sz w:val="20"/>
          <w:szCs w:val="20"/>
        </w:rPr>
        <w:t xml:space="preserve">, </w:t>
      </w:r>
      <w:r w:rsidRPr="00F0673F">
        <w:rPr>
          <w:b/>
          <w:sz w:val="20"/>
          <w:szCs w:val="20"/>
        </w:rPr>
        <w:t>¶</w:t>
      </w:r>
      <w:r w:rsidRPr="00F0673F">
        <w:rPr>
          <w:sz w:val="20"/>
          <w:szCs w:val="20"/>
        </w:rPr>
        <w:t xml:space="preserve"> 31, U.N. Doc. </w:t>
      </w:r>
      <w:r w:rsidRPr="00F0673F">
        <w:rPr>
          <w:rFonts w:eastAsia="MS Mincho"/>
          <w:bCs/>
          <w:sz w:val="20"/>
          <w:szCs w:val="20"/>
          <w:lang w:val="en-GB"/>
        </w:rPr>
        <w:t>E/C.12/POL/CO/5 (2009);</w:t>
      </w:r>
      <w:r w:rsidRPr="00F0673F">
        <w:rPr>
          <w:i/>
          <w:sz w:val="20"/>
          <w:szCs w:val="20"/>
        </w:rPr>
        <w:t xml:space="preserve"> Korea</w:t>
      </w:r>
      <w:r w:rsidRPr="00F0673F">
        <w:rPr>
          <w:sz w:val="20"/>
          <w:szCs w:val="20"/>
        </w:rPr>
        <w:t xml:space="preserve">, </w:t>
      </w:r>
      <w:r w:rsidRPr="00F0673F">
        <w:rPr>
          <w:b/>
          <w:sz w:val="20"/>
          <w:szCs w:val="20"/>
        </w:rPr>
        <w:t>¶</w:t>
      </w:r>
      <w:r w:rsidRPr="00F0673F">
        <w:rPr>
          <w:sz w:val="20"/>
          <w:szCs w:val="20"/>
        </w:rPr>
        <w:t xml:space="preserve"> 31, U.N. Doc. </w:t>
      </w:r>
      <w:r w:rsidRPr="00F0673F">
        <w:rPr>
          <w:bCs/>
          <w:sz w:val="20"/>
          <w:szCs w:val="20"/>
          <w:lang w:val="en-GB"/>
        </w:rPr>
        <w:t>E/C.12/KOR/CO/3 (2009);</w:t>
      </w:r>
      <w:r w:rsidRPr="00F0673F">
        <w:rPr>
          <w:i/>
          <w:sz w:val="20"/>
          <w:szCs w:val="20"/>
        </w:rPr>
        <w:t xml:space="preserve"> Madagascar</w:t>
      </w:r>
      <w:r w:rsidRPr="00F0673F">
        <w:rPr>
          <w:sz w:val="20"/>
          <w:szCs w:val="20"/>
        </w:rPr>
        <w:t xml:space="preserve">, </w:t>
      </w:r>
      <w:r w:rsidRPr="00F0673F">
        <w:rPr>
          <w:b/>
          <w:sz w:val="20"/>
          <w:szCs w:val="20"/>
        </w:rPr>
        <w:t>¶</w:t>
      </w:r>
      <w:r w:rsidRPr="00F0673F">
        <w:rPr>
          <w:sz w:val="20"/>
          <w:szCs w:val="20"/>
        </w:rPr>
        <w:t xml:space="preserve"> 30, U.N. Doc. </w:t>
      </w:r>
      <w:r w:rsidRPr="00F0673F">
        <w:rPr>
          <w:bCs/>
          <w:sz w:val="20"/>
          <w:szCs w:val="20"/>
          <w:lang w:val="en-GB"/>
        </w:rPr>
        <w:t>E/C.12/MDG/CO/2 (2009);</w:t>
      </w:r>
      <w:r w:rsidRPr="00F0673F">
        <w:rPr>
          <w:i/>
          <w:sz w:val="20"/>
          <w:szCs w:val="20"/>
        </w:rPr>
        <w:t xml:space="preserve"> Kenya</w:t>
      </w:r>
      <w:r w:rsidRPr="00F0673F">
        <w:rPr>
          <w:sz w:val="20"/>
          <w:szCs w:val="20"/>
        </w:rPr>
        <w:t xml:space="preserve">, </w:t>
      </w:r>
      <w:r w:rsidRPr="00F0673F">
        <w:rPr>
          <w:b/>
          <w:sz w:val="20"/>
          <w:szCs w:val="20"/>
        </w:rPr>
        <w:t>¶</w:t>
      </w:r>
      <w:r w:rsidRPr="00F0673F">
        <w:rPr>
          <w:sz w:val="20"/>
          <w:szCs w:val="20"/>
        </w:rPr>
        <w:t xml:space="preserve"> 33, U.N. Doc. </w:t>
      </w:r>
      <w:r w:rsidRPr="00F0673F">
        <w:rPr>
          <w:bCs/>
          <w:sz w:val="20"/>
          <w:szCs w:val="20"/>
        </w:rPr>
        <w:t>E/C.12/KEN/CO/1 (2008);</w:t>
      </w:r>
      <w:r w:rsidRPr="00F0673F">
        <w:rPr>
          <w:i/>
          <w:sz w:val="20"/>
          <w:szCs w:val="20"/>
        </w:rPr>
        <w:t xml:space="preserve"> </w:t>
      </w:r>
      <w:r w:rsidRPr="00F0673F">
        <w:rPr>
          <w:bCs/>
          <w:i/>
          <w:sz w:val="20"/>
          <w:szCs w:val="20"/>
          <w:lang w:val="en-GB"/>
        </w:rPr>
        <w:t>India</w:t>
      </w:r>
      <w:r w:rsidRPr="00F0673F">
        <w:rPr>
          <w:bCs/>
          <w:sz w:val="20"/>
          <w:szCs w:val="20"/>
          <w:lang w:val="en-GB"/>
        </w:rPr>
        <w:t xml:space="preserve">, </w:t>
      </w:r>
      <w:r w:rsidRPr="00F0673F">
        <w:rPr>
          <w:b/>
          <w:sz w:val="20"/>
          <w:szCs w:val="20"/>
        </w:rPr>
        <w:t>¶</w:t>
      </w:r>
      <w:r w:rsidRPr="00F0673F">
        <w:rPr>
          <w:sz w:val="20"/>
          <w:szCs w:val="20"/>
        </w:rPr>
        <w:t xml:space="preserve"> 77</w:t>
      </w:r>
      <w:r w:rsidRPr="00F0673F">
        <w:rPr>
          <w:bCs/>
          <w:sz w:val="20"/>
          <w:szCs w:val="20"/>
          <w:lang w:val="en-GB"/>
        </w:rPr>
        <w:t>, U.N. Doc. E/C.12/IND/CO/5 (2008);</w:t>
      </w:r>
      <w:r w:rsidRPr="00F0673F">
        <w:rPr>
          <w:bCs/>
          <w:i/>
          <w:sz w:val="20"/>
          <w:szCs w:val="20"/>
          <w:lang w:val="en-GB"/>
        </w:rPr>
        <w:t xml:space="preserve"> Nicaragua</w:t>
      </w:r>
      <w:r w:rsidRPr="00F0673F">
        <w:rPr>
          <w:bCs/>
          <w:sz w:val="20"/>
          <w:szCs w:val="20"/>
          <w:lang w:val="en-GB"/>
        </w:rPr>
        <w:t xml:space="preserve">, </w:t>
      </w:r>
      <w:r w:rsidRPr="00F0673F">
        <w:rPr>
          <w:b/>
          <w:sz w:val="20"/>
          <w:szCs w:val="20"/>
        </w:rPr>
        <w:t>¶</w:t>
      </w:r>
      <w:r w:rsidRPr="00F0673F">
        <w:rPr>
          <w:sz w:val="20"/>
          <w:szCs w:val="20"/>
        </w:rPr>
        <w:t xml:space="preserve"> 27</w:t>
      </w:r>
      <w:r w:rsidRPr="00F0673F">
        <w:rPr>
          <w:bCs/>
          <w:sz w:val="20"/>
          <w:szCs w:val="20"/>
          <w:lang w:val="en-GB"/>
        </w:rPr>
        <w:t xml:space="preserve">, U.N. Doc. </w:t>
      </w:r>
      <w:r w:rsidRPr="00F0673F">
        <w:rPr>
          <w:bCs/>
          <w:sz w:val="20"/>
          <w:szCs w:val="20"/>
        </w:rPr>
        <w:t>E/C.12/NIC/CO/4 (2008);</w:t>
      </w:r>
      <w:r w:rsidRPr="00F0673F">
        <w:rPr>
          <w:bCs/>
          <w:i/>
          <w:sz w:val="20"/>
          <w:szCs w:val="20"/>
          <w:lang w:val="en-GB"/>
        </w:rPr>
        <w:t xml:space="preserve"> </w:t>
      </w:r>
      <w:r w:rsidRPr="00F0673F">
        <w:rPr>
          <w:i/>
          <w:sz w:val="20"/>
          <w:szCs w:val="20"/>
        </w:rPr>
        <w:t>El Salvador</w:t>
      </w:r>
      <w:r w:rsidRPr="00F0673F">
        <w:rPr>
          <w:sz w:val="20"/>
          <w:szCs w:val="20"/>
        </w:rPr>
        <w:t xml:space="preserve">, </w:t>
      </w:r>
      <w:r w:rsidRPr="00F0673F">
        <w:rPr>
          <w:b/>
          <w:sz w:val="20"/>
          <w:szCs w:val="20"/>
        </w:rPr>
        <w:t>¶</w:t>
      </w:r>
      <w:r w:rsidRPr="00F0673F">
        <w:rPr>
          <w:sz w:val="20"/>
          <w:szCs w:val="20"/>
        </w:rPr>
        <w:t xml:space="preserve"> 44, U.N. Doc. </w:t>
      </w:r>
      <w:r w:rsidRPr="00F0673F">
        <w:rPr>
          <w:bCs/>
          <w:sz w:val="20"/>
          <w:szCs w:val="20"/>
        </w:rPr>
        <w:t>E/C.12/SLV/CO/2 (2007);</w:t>
      </w:r>
      <w:r w:rsidRPr="00F0673F">
        <w:rPr>
          <w:i/>
          <w:sz w:val="20"/>
          <w:szCs w:val="20"/>
        </w:rPr>
        <w:t xml:space="preserve"> China</w:t>
      </w:r>
      <w:r w:rsidRPr="00F0673F">
        <w:rPr>
          <w:sz w:val="20"/>
          <w:szCs w:val="20"/>
        </w:rPr>
        <w:t xml:space="preserve">, </w:t>
      </w:r>
      <w:r w:rsidRPr="00F0673F">
        <w:rPr>
          <w:b/>
          <w:sz w:val="20"/>
          <w:szCs w:val="20"/>
        </w:rPr>
        <w:t>¶</w:t>
      </w:r>
      <w:r w:rsidRPr="00F0673F">
        <w:rPr>
          <w:sz w:val="20"/>
          <w:szCs w:val="20"/>
        </w:rPr>
        <w:t xml:space="preserve"> 100, U.N. Doc. </w:t>
      </w:r>
      <w:r w:rsidRPr="00F0673F">
        <w:rPr>
          <w:sz w:val="20"/>
          <w:szCs w:val="20"/>
        </w:rPr>
        <w:fldChar w:fldCharType="begin"/>
      </w:r>
      <w:r w:rsidRPr="00F0673F">
        <w:rPr>
          <w:sz w:val="20"/>
          <w:szCs w:val="20"/>
        </w:rPr>
        <w:instrText xml:space="preserve"> FILLIN "Symbol" \* MERGEFORMAT </w:instrText>
      </w:r>
      <w:r w:rsidRPr="00F0673F">
        <w:rPr>
          <w:sz w:val="20"/>
          <w:szCs w:val="20"/>
        </w:rPr>
        <w:fldChar w:fldCharType="separate"/>
      </w:r>
      <w:r w:rsidRPr="00F0673F">
        <w:rPr>
          <w:bCs/>
          <w:sz w:val="20"/>
          <w:szCs w:val="20"/>
          <w:lang w:val="en-GB"/>
        </w:rPr>
        <w:t>E/C.12/1/Add.107</w:t>
      </w:r>
      <w:r w:rsidRPr="00F0673F">
        <w:rPr>
          <w:bCs/>
          <w:sz w:val="20"/>
          <w:szCs w:val="20"/>
          <w:lang w:val="en-GB"/>
        </w:rPr>
        <w:fldChar w:fldCharType="end"/>
      </w:r>
      <w:r w:rsidRPr="00F0673F">
        <w:rPr>
          <w:bCs/>
          <w:sz w:val="20"/>
          <w:szCs w:val="20"/>
          <w:lang w:val="en-GB"/>
        </w:rPr>
        <w:t xml:space="preserve"> (2005); </w:t>
      </w:r>
      <w:r w:rsidRPr="00F0673F">
        <w:rPr>
          <w:bCs/>
          <w:i/>
          <w:sz w:val="20"/>
          <w:szCs w:val="20"/>
          <w:lang w:val="en-GB"/>
        </w:rPr>
        <w:t>Guatemala</w:t>
      </w:r>
      <w:r w:rsidRPr="00F0673F">
        <w:rPr>
          <w:bCs/>
          <w:sz w:val="20"/>
          <w:szCs w:val="20"/>
          <w:lang w:val="en-GB"/>
        </w:rPr>
        <w:t xml:space="preserve">, </w:t>
      </w:r>
      <w:r w:rsidRPr="00F0673F">
        <w:rPr>
          <w:b/>
          <w:sz w:val="20"/>
          <w:szCs w:val="20"/>
        </w:rPr>
        <w:t>¶</w:t>
      </w:r>
      <w:r w:rsidRPr="00F0673F">
        <w:rPr>
          <w:sz w:val="20"/>
          <w:szCs w:val="20"/>
        </w:rPr>
        <w:t xml:space="preserve"> 43</w:t>
      </w:r>
      <w:r w:rsidRPr="00F0673F">
        <w:rPr>
          <w:bCs/>
          <w:sz w:val="20"/>
          <w:szCs w:val="20"/>
          <w:lang w:val="en-GB"/>
        </w:rPr>
        <w:t xml:space="preserve">, U.N. Doc. </w:t>
      </w:r>
      <w:r w:rsidRPr="00F0673F">
        <w:rPr>
          <w:sz w:val="20"/>
          <w:szCs w:val="20"/>
        </w:rPr>
        <w:fldChar w:fldCharType="begin"/>
      </w:r>
      <w:r w:rsidRPr="00F0673F">
        <w:rPr>
          <w:sz w:val="20"/>
          <w:szCs w:val="20"/>
        </w:rPr>
        <w:instrText xml:space="preserve"> FILLIN "Symbol" \* MERGEFORMAT </w:instrText>
      </w:r>
      <w:r w:rsidRPr="00F0673F">
        <w:rPr>
          <w:sz w:val="20"/>
          <w:szCs w:val="20"/>
        </w:rPr>
        <w:fldChar w:fldCharType="separate"/>
      </w:r>
      <w:r w:rsidRPr="00F0673F">
        <w:rPr>
          <w:bCs/>
          <w:sz w:val="20"/>
          <w:szCs w:val="20"/>
          <w:lang w:val="en-GB"/>
        </w:rPr>
        <w:t>E/C.12/1/Add.93</w:t>
      </w:r>
      <w:r w:rsidRPr="00F0673F">
        <w:rPr>
          <w:bCs/>
          <w:sz w:val="20"/>
          <w:szCs w:val="20"/>
          <w:lang w:val="en-GB"/>
        </w:rPr>
        <w:fldChar w:fldCharType="end"/>
      </w:r>
      <w:r w:rsidRPr="00F0673F">
        <w:rPr>
          <w:bCs/>
          <w:sz w:val="20"/>
          <w:szCs w:val="20"/>
          <w:lang w:val="en-GB"/>
        </w:rPr>
        <w:t xml:space="preserve"> (2003); </w:t>
      </w:r>
      <w:r w:rsidRPr="00F0673F">
        <w:rPr>
          <w:bCs/>
          <w:i/>
          <w:sz w:val="20"/>
          <w:szCs w:val="20"/>
          <w:lang w:val="en-GB"/>
        </w:rPr>
        <w:t>Senegal</w:t>
      </w:r>
      <w:r w:rsidRPr="00F0673F">
        <w:rPr>
          <w:bCs/>
          <w:sz w:val="20"/>
          <w:szCs w:val="20"/>
          <w:lang w:val="en-GB"/>
        </w:rPr>
        <w:t xml:space="preserve">, </w:t>
      </w:r>
      <w:r w:rsidRPr="00F0673F">
        <w:rPr>
          <w:b/>
          <w:sz w:val="20"/>
          <w:szCs w:val="20"/>
        </w:rPr>
        <w:t>¶</w:t>
      </w:r>
      <w:r w:rsidRPr="00F0673F">
        <w:rPr>
          <w:sz w:val="20"/>
          <w:szCs w:val="20"/>
        </w:rPr>
        <w:t xml:space="preserve"> 47</w:t>
      </w:r>
      <w:r w:rsidRPr="00F0673F">
        <w:rPr>
          <w:bCs/>
          <w:sz w:val="20"/>
          <w:szCs w:val="20"/>
          <w:lang w:val="en-GB"/>
        </w:rPr>
        <w:t>, U.N. Doc. E/C.12/1/Add.62 (2001).</w:t>
      </w:r>
    </w:p>
  </w:endnote>
  <w:endnote w:id="90">
    <w:p w14:paraId="00B166B2" w14:textId="0ECA37D3"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sidR="00655400">
        <w:rPr>
          <w:i/>
          <w:sz w:val="20"/>
          <w:szCs w:val="20"/>
        </w:rPr>
        <w:t xml:space="preserve"> to</w:t>
      </w:r>
      <w:r w:rsidRPr="00F0673F">
        <w:rPr>
          <w:i/>
          <w:sz w:val="20"/>
          <w:szCs w:val="20"/>
        </w:rPr>
        <w:t>: Poland</w:t>
      </w:r>
      <w:r w:rsidRPr="00F0673F">
        <w:rPr>
          <w:sz w:val="20"/>
          <w:szCs w:val="20"/>
        </w:rPr>
        <w:t xml:space="preserve">, </w:t>
      </w:r>
      <w:r w:rsidRPr="00F0673F">
        <w:rPr>
          <w:b/>
          <w:sz w:val="20"/>
          <w:szCs w:val="20"/>
        </w:rPr>
        <w:t>¶</w:t>
      </w:r>
      <w:r w:rsidRPr="00F0673F">
        <w:rPr>
          <w:sz w:val="20"/>
          <w:szCs w:val="20"/>
        </w:rPr>
        <w:t xml:space="preserve"> 49, U.N. Doc. E/C.12/POL/CO/6 (2016); </w:t>
      </w:r>
      <w:r w:rsidRPr="00F0673F">
        <w:rPr>
          <w:i/>
          <w:sz w:val="20"/>
          <w:szCs w:val="20"/>
        </w:rPr>
        <w:t>Guyana</w:t>
      </w:r>
      <w:r w:rsidRPr="00F0673F">
        <w:rPr>
          <w:sz w:val="20"/>
          <w:szCs w:val="20"/>
        </w:rPr>
        <w:t xml:space="preserve">, </w:t>
      </w:r>
      <w:r w:rsidRPr="00F0673F">
        <w:rPr>
          <w:b/>
          <w:sz w:val="20"/>
          <w:szCs w:val="20"/>
        </w:rPr>
        <w:t>¶</w:t>
      </w:r>
      <w:r w:rsidRPr="00F0673F">
        <w:rPr>
          <w:sz w:val="20"/>
          <w:szCs w:val="20"/>
        </w:rPr>
        <w:t xml:space="preserve"> 51, U.N. Doc. </w:t>
      </w:r>
      <w:r w:rsidRPr="00F0673F">
        <w:rPr>
          <w:sz w:val="20"/>
          <w:szCs w:val="20"/>
          <w:lang w:val="en-GB"/>
        </w:rPr>
        <w:t>E/C.12/GUY/CO/2-4 (2015).</w:t>
      </w:r>
    </w:p>
  </w:endnote>
  <w:endnote w:id="91">
    <w:p w14:paraId="30BD6B25" w14:textId="7CCC32C5"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Concluding Observations</w:t>
      </w:r>
      <w:r w:rsidR="00655400">
        <w:rPr>
          <w:i/>
          <w:sz w:val="20"/>
          <w:szCs w:val="20"/>
        </w:rPr>
        <w:t xml:space="preserve"> to</w:t>
      </w:r>
      <w:r w:rsidRPr="00F0673F">
        <w:rPr>
          <w:i/>
          <w:sz w:val="20"/>
          <w:szCs w:val="20"/>
        </w:rPr>
        <w:t>: Netherlands</w:t>
      </w:r>
      <w:r w:rsidRPr="00F0673F">
        <w:rPr>
          <w:sz w:val="20"/>
          <w:szCs w:val="20"/>
        </w:rPr>
        <w:t xml:space="preserve">, </w:t>
      </w:r>
      <w:r w:rsidRPr="00F0673F">
        <w:rPr>
          <w:b/>
          <w:sz w:val="20"/>
          <w:szCs w:val="20"/>
        </w:rPr>
        <w:t>¶</w:t>
      </w:r>
      <w:r w:rsidRPr="00F0673F">
        <w:rPr>
          <w:sz w:val="20"/>
          <w:szCs w:val="20"/>
        </w:rPr>
        <w:t xml:space="preserve"> 27, U.N. Doc. </w:t>
      </w:r>
      <w:r w:rsidRPr="00F0673F">
        <w:rPr>
          <w:bCs/>
          <w:sz w:val="20"/>
          <w:szCs w:val="20"/>
          <w:lang w:val="en-GB"/>
        </w:rPr>
        <w:t>E/C.12/NDL/CO/4-5 (2010);</w:t>
      </w:r>
      <w:r w:rsidRPr="00F0673F">
        <w:rPr>
          <w:i/>
          <w:sz w:val="20"/>
          <w:szCs w:val="20"/>
        </w:rPr>
        <w:t xml:space="preserve"> Korea</w:t>
      </w:r>
      <w:r w:rsidRPr="00F0673F">
        <w:rPr>
          <w:sz w:val="20"/>
          <w:szCs w:val="20"/>
        </w:rPr>
        <w:t xml:space="preserve">, </w:t>
      </w:r>
      <w:r w:rsidRPr="00F0673F">
        <w:rPr>
          <w:b/>
          <w:sz w:val="20"/>
          <w:szCs w:val="20"/>
        </w:rPr>
        <w:t>¶</w:t>
      </w:r>
      <w:r w:rsidRPr="00F0673F">
        <w:rPr>
          <w:sz w:val="20"/>
          <w:szCs w:val="20"/>
        </w:rPr>
        <w:t xml:space="preserve"> 31, U.N. Doc. </w:t>
      </w:r>
      <w:r w:rsidRPr="00F0673F">
        <w:rPr>
          <w:bCs/>
          <w:sz w:val="20"/>
          <w:szCs w:val="20"/>
          <w:lang w:val="en-GB"/>
        </w:rPr>
        <w:t>E/C.12/KOR/CO/3 (2009).</w:t>
      </w:r>
    </w:p>
  </w:endnote>
  <w:endnote w:id="92">
    <w:p w14:paraId="6DC431EC" w14:textId="25A0FB4E"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 Ethiopia</w:t>
      </w:r>
      <w:r w:rsidRPr="00F0673F">
        <w:rPr>
          <w:sz w:val="20"/>
          <w:szCs w:val="20"/>
        </w:rPr>
        <w:t>, ¶ 55, U.N. Doc. CRPD/C/ETH/CO/1 (2016);</w:t>
      </w:r>
      <w:r w:rsidRPr="00F0673F">
        <w:rPr>
          <w:i/>
          <w:sz w:val="20"/>
          <w:szCs w:val="20"/>
        </w:rPr>
        <w:t xml:space="preserve"> Cook Islands</w:t>
      </w:r>
      <w:r w:rsidRPr="00F0673F">
        <w:rPr>
          <w:sz w:val="20"/>
          <w:szCs w:val="20"/>
        </w:rPr>
        <w:t>, ¶ 35, U.N. Doc. CRPD/C/COK/CO/1 (2015);</w:t>
      </w:r>
      <w:r w:rsidRPr="00F0673F">
        <w:rPr>
          <w:i/>
          <w:sz w:val="20"/>
          <w:szCs w:val="20"/>
        </w:rPr>
        <w:t xml:space="preserve"> Gabon</w:t>
      </w:r>
      <w:r w:rsidRPr="00F0673F">
        <w:rPr>
          <w:sz w:val="20"/>
          <w:szCs w:val="20"/>
        </w:rPr>
        <w:t>, ¶ 54, U.N. Doc. CRPD/C/GAB/CO/1 (2015);</w:t>
      </w:r>
      <w:r w:rsidRPr="00F0673F">
        <w:rPr>
          <w:i/>
          <w:sz w:val="20"/>
          <w:szCs w:val="20"/>
        </w:rPr>
        <w:t xml:space="preserve"> Belgium</w:t>
      </w:r>
      <w:r w:rsidRPr="00F0673F">
        <w:rPr>
          <w:sz w:val="20"/>
          <w:szCs w:val="20"/>
        </w:rPr>
        <w:t xml:space="preserve">, ¶ 34, U.N. Doc. CRPD/C/BEL/CO/1 (2014). </w:t>
      </w:r>
    </w:p>
  </w:endnote>
  <w:endnote w:id="93">
    <w:p w14:paraId="1ABC1B04" w14:textId="3A296D92" w:rsidR="00C937A5" w:rsidRPr="00F0673F" w:rsidRDefault="00C937A5" w:rsidP="00255789">
      <w:pPr>
        <w:pStyle w:val="EndnoteText"/>
        <w:jc w:val="left"/>
        <w:rPr>
          <w:b/>
          <w:sz w:val="20"/>
          <w:szCs w:val="20"/>
        </w:rPr>
      </w:pPr>
      <w:r w:rsidRPr="00F0673F">
        <w:rPr>
          <w:rStyle w:val="EndnoteReference"/>
          <w:sz w:val="20"/>
          <w:szCs w:val="20"/>
        </w:rPr>
        <w:endnoteRef/>
      </w:r>
      <w:r w:rsidRPr="00F0673F">
        <w:rPr>
          <w:sz w:val="20"/>
          <w:szCs w:val="20"/>
        </w:rPr>
        <w:t xml:space="preserve"> CRPD Committee, </w:t>
      </w:r>
      <w:r w:rsidRPr="00F0673F">
        <w:rPr>
          <w:i/>
          <w:sz w:val="20"/>
          <w:szCs w:val="20"/>
        </w:rPr>
        <w:t>Concluding Observations</w:t>
      </w:r>
      <w:r w:rsidR="00655400">
        <w:rPr>
          <w:i/>
          <w:sz w:val="20"/>
          <w:szCs w:val="20"/>
        </w:rPr>
        <w:t xml:space="preserve"> to</w:t>
      </w:r>
      <w:r w:rsidRPr="00F0673F">
        <w:rPr>
          <w:i/>
          <w:sz w:val="20"/>
          <w:szCs w:val="20"/>
        </w:rPr>
        <w:t>: Uganda</w:t>
      </w:r>
      <w:r w:rsidRPr="00F0673F">
        <w:rPr>
          <w:sz w:val="20"/>
          <w:szCs w:val="20"/>
        </w:rPr>
        <w:t>, ¶ 51, U.N. Doc. CRPD/C/UGA/CO/1 (2016);</w:t>
      </w:r>
      <w:r w:rsidRPr="00F0673F">
        <w:rPr>
          <w:i/>
          <w:sz w:val="20"/>
          <w:szCs w:val="20"/>
        </w:rPr>
        <w:t xml:space="preserve"> Cook Islands</w:t>
      </w:r>
      <w:r w:rsidRPr="00F0673F">
        <w:rPr>
          <w:sz w:val="20"/>
          <w:szCs w:val="20"/>
        </w:rPr>
        <w:t>, ¶ 36, U.N. Doc. CRPD/C/COK/CO/1 (2015);</w:t>
      </w:r>
      <w:r w:rsidRPr="00F0673F">
        <w:rPr>
          <w:i/>
          <w:sz w:val="20"/>
          <w:szCs w:val="20"/>
        </w:rPr>
        <w:t xml:space="preserve"> Gabon</w:t>
      </w:r>
      <w:r w:rsidRPr="00F0673F">
        <w:rPr>
          <w:sz w:val="20"/>
          <w:szCs w:val="20"/>
        </w:rPr>
        <w:t>, ¶ 55, U.N. Doc. CRPD/C/GAB/CO/1 (2015);</w:t>
      </w:r>
      <w:r w:rsidRPr="00F0673F">
        <w:rPr>
          <w:i/>
          <w:sz w:val="20"/>
          <w:szCs w:val="20"/>
        </w:rPr>
        <w:t xml:space="preserve"> Belgium</w:t>
      </w:r>
      <w:r w:rsidRPr="00F0673F">
        <w:rPr>
          <w:sz w:val="20"/>
          <w:szCs w:val="20"/>
        </w:rPr>
        <w:t xml:space="preserve">, ¶ 35, U.N. Doc. CRPD/C/BEL/CO/1 (2014); </w:t>
      </w:r>
      <w:r w:rsidRPr="00F0673F">
        <w:rPr>
          <w:i/>
          <w:sz w:val="20"/>
          <w:szCs w:val="20"/>
        </w:rPr>
        <w:t>China</w:t>
      </w:r>
      <w:r w:rsidRPr="00F0673F">
        <w:rPr>
          <w:sz w:val="20"/>
          <w:szCs w:val="20"/>
        </w:rPr>
        <w:t>, ¶ 66, U.N. Doc. CRPD/C/CHN/CO/1 (2012).</w:t>
      </w:r>
    </w:p>
  </w:endnote>
  <w:endnote w:id="94">
    <w:p w14:paraId="3D653674" w14:textId="77777777"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w:t>
      </w:r>
      <w:proofErr w:type="spellStart"/>
      <w:r w:rsidRPr="00F0673F">
        <w:rPr>
          <w:sz w:val="20"/>
          <w:szCs w:val="20"/>
        </w:rPr>
        <w:t>Vernor</w:t>
      </w:r>
      <w:proofErr w:type="spellEnd"/>
      <w:r w:rsidRPr="00F0673F">
        <w:rPr>
          <w:sz w:val="20"/>
          <w:szCs w:val="20"/>
        </w:rPr>
        <w:t xml:space="preserve"> Muñoz, </w:t>
      </w:r>
      <w:r w:rsidRPr="00F0673F">
        <w:rPr>
          <w:i/>
          <w:sz w:val="20"/>
          <w:szCs w:val="20"/>
        </w:rPr>
        <w:t>Report of the Special Rapporteur on the right to education: comprehensive sexual education</w:t>
      </w:r>
      <w:r w:rsidRPr="00F0673F">
        <w:rPr>
          <w:sz w:val="20"/>
          <w:szCs w:val="20"/>
        </w:rPr>
        <w:t>, ¶ 32, U.N. Doc. A/65/162 (2010).</w:t>
      </w:r>
    </w:p>
  </w:endnote>
  <w:endnote w:id="95">
    <w:p w14:paraId="6EE6DD59" w14:textId="625D5F0A" w:rsidR="00C937A5" w:rsidRPr="00F0673F" w:rsidRDefault="00C937A5" w:rsidP="00255789">
      <w:pPr>
        <w:rPr>
          <w:i/>
          <w:sz w:val="20"/>
          <w:szCs w:val="20"/>
        </w:rPr>
      </w:pPr>
      <w:r w:rsidRPr="00F0673F">
        <w:rPr>
          <w:sz w:val="20"/>
          <w:szCs w:val="20"/>
          <w:vertAlign w:val="superscript"/>
        </w:rPr>
        <w:endnoteRef/>
      </w:r>
      <w:r w:rsidRPr="00F0673F">
        <w:rPr>
          <w:sz w:val="20"/>
          <w:szCs w:val="20"/>
        </w:rPr>
        <w:t xml:space="preserve"> Ministry of Education</w:t>
      </w:r>
      <w:r w:rsidRPr="00F0673F">
        <w:rPr>
          <w:rFonts w:eastAsia="Cambria"/>
          <w:smallCaps/>
          <w:sz w:val="20"/>
          <w:szCs w:val="20"/>
        </w:rPr>
        <w:t>, Integrated Registration System</w:t>
      </w:r>
      <w:r w:rsidRPr="00F0673F">
        <w:rPr>
          <w:sz w:val="20"/>
          <w:szCs w:val="20"/>
        </w:rPr>
        <w:t xml:space="preserve">, data current as of December 31, 2015, as cited in the State reply to the List of Issues during the CRPD Committee review, CRPD Committee, </w:t>
      </w:r>
      <w:r w:rsidRPr="00F0673F">
        <w:rPr>
          <w:bCs/>
          <w:i/>
          <w:sz w:val="20"/>
          <w:szCs w:val="20"/>
        </w:rPr>
        <w:t>List of issues in relation to the initial report of Colombia: Addendum. Replies of Colombia to the list of issues</w:t>
      </w:r>
      <w:r w:rsidRPr="00F0673F">
        <w:rPr>
          <w:bCs/>
          <w:sz w:val="20"/>
          <w:szCs w:val="20"/>
        </w:rPr>
        <w:t xml:space="preserve">, </w:t>
      </w:r>
      <w:r w:rsidRPr="00F0673F">
        <w:rPr>
          <w:sz w:val="20"/>
          <w:szCs w:val="20"/>
        </w:rPr>
        <w:t>CRPD/C/COL/Q/1/Add.1 at p. 17</w:t>
      </w:r>
      <w:r w:rsidR="00655400">
        <w:rPr>
          <w:sz w:val="20"/>
          <w:szCs w:val="20"/>
        </w:rPr>
        <w:t>.</w:t>
      </w:r>
    </w:p>
  </w:endnote>
  <w:endnote w:id="96">
    <w:p w14:paraId="29C69E0A" w14:textId="7777777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655400">
        <w:rPr>
          <w:i/>
          <w:sz w:val="20"/>
          <w:szCs w:val="20"/>
        </w:rPr>
        <w:t>Id</w:t>
      </w:r>
      <w:r w:rsidRPr="00F0673F">
        <w:rPr>
          <w:sz w:val="20"/>
          <w:szCs w:val="20"/>
        </w:rPr>
        <w:t>.</w:t>
      </w:r>
    </w:p>
  </w:endnote>
  <w:endnote w:id="97">
    <w:p w14:paraId="5D498E7F" w14:textId="2229EC86" w:rsidR="00C937A5" w:rsidRPr="00F0673F" w:rsidRDefault="00C937A5" w:rsidP="00255789">
      <w:pPr>
        <w:widowControl w:val="0"/>
        <w:rPr>
          <w:sz w:val="20"/>
          <w:szCs w:val="20"/>
        </w:rPr>
      </w:pPr>
      <w:r w:rsidRPr="00F0673F">
        <w:rPr>
          <w:sz w:val="20"/>
          <w:szCs w:val="20"/>
          <w:vertAlign w:val="superscript"/>
        </w:rPr>
        <w:endnoteRef/>
      </w:r>
      <w:r w:rsidRPr="00F0673F">
        <w:rPr>
          <w:sz w:val="20"/>
          <w:szCs w:val="20"/>
        </w:rPr>
        <w:t xml:space="preserve"> Arthur </w:t>
      </w:r>
      <w:proofErr w:type="spellStart"/>
      <w:r w:rsidRPr="00F0673F">
        <w:rPr>
          <w:sz w:val="20"/>
          <w:szCs w:val="20"/>
        </w:rPr>
        <w:t>O’Riely</w:t>
      </w:r>
      <w:proofErr w:type="spellEnd"/>
      <w:r w:rsidRPr="00F0673F">
        <w:rPr>
          <w:sz w:val="20"/>
          <w:szCs w:val="20"/>
        </w:rPr>
        <w:t xml:space="preserve">, </w:t>
      </w:r>
      <w:r w:rsidRPr="00655400">
        <w:rPr>
          <w:i/>
          <w:sz w:val="20"/>
          <w:szCs w:val="20"/>
        </w:rPr>
        <w:t xml:space="preserve">The Right </w:t>
      </w:r>
      <w:r w:rsidR="00655400" w:rsidRPr="00655400">
        <w:rPr>
          <w:i/>
          <w:sz w:val="20"/>
          <w:szCs w:val="20"/>
        </w:rPr>
        <w:t>t</w:t>
      </w:r>
      <w:r w:rsidRPr="00655400">
        <w:rPr>
          <w:i/>
          <w:sz w:val="20"/>
          <w:szCs w:val="20"/>
        </w:rPr>
        <w:t xml:space="preserve">o Decent Work </w:t>
      </w:r>
      <w:r w:rsidR="00655400" w:rsidRPr="00655400">
        <w:rPr>
          <w:i/>
          <w:sz w:val="20"/>
          <w:szCs w:val="20"/>
        </w:rPr>
        <w:t>o</w:t>
      </w:r>
      <w:r w:rsidRPr="00655400">
        <w:rPr>
          <w:i/>
          <w:sz w:val="20"/>
          <w:szCs w:val="20"/>
        </w:rPr>
        <w:t>f Persons With Disabilities, I</w:t>
      </w:r>
      <w:r w:rsidR="00655400" w:rsidRPr="00655400">
        <w:rPr>
          <w:i/>
          <w:sz w:val="20"/>
          <w:szCs w:val="20"/>
        </w:rPr>
        <w:t>FP</w:t>
      </w:r>
      <w:r w:rsidRPr="00655400">
        <w:rPr>
          <w:i/>
          <w:sz w:val="20"/>
          <w:szCs w:val="20"/>
        </w:rPr>
        <w:t>/Skills Working Paper No. 14, International Labor Organization</w:t>
      </w:r>
      <w:r w:rsidRPr="00F0673F">
        <w:rPr>
          <w:sz w:val="20"/>
          <w:szCs w:val="20"/>
        </w:rPr>
        <w:t xml:space="preserve"> </w:t>
      </w:r>
      <w:r w:rsidR="00655400">
        <w:rPr>
          <w:sz w:val="20"/>
          <w:szCs w:val="20"/>
        </w:rPr>
        <w:t xml:space="preserve">32 (2013), </w:t>
      </w:r>
      <w:r w:rsidR="00655400">
        <w:rPr>
          <w:i/>
          <w:sz w:val="20"/>
          <w:szCs w:val="20"/>
        </w:rPr>
        <w:t>available at</w:t>
      </w:r>
      <w:r w:rsidRPr="00F0673F">
        <w:rPr>
          <w:sz w:val="20"/>
          <w:szCs w:val="20"/>
        </w:rPr>
        <w:t xml:space="preserve"> </w:t>
      </w:r>
      <w:hyperlink r:id="rId8">
        <w:r w:rsidRPr="00F0673F">
          <w:rPr>
            <w:sz w:val="20"/>
            <w:szCs w:val="20"/>
          </w:rPr>
          <w:t>http://www.ilo.org/wcmsp5/groups/public/---</w:t>
        </w:r>
        <w:proofErr w:type="spellStart"/>
        <w:r w:rsidRPr="00F0673F">
          <w:rPr>
            <w:sz w:val="20"/>
            <w:szCs w:val="20"/>
          </w:rPr>
          <w:t>asia</w:t>
        </w:r>
        <w:proofErr w:type="spellEnd"/>
        <w:r w:rsidRPr="00F0673F">
          <w:rPr>
            <w:sz w:val="20"/>
            <w:szCs w:val="20"/>
          </w:rPr>
          <w:t>/---</w:t>
        </w:r>
        <w:proofErr w:type="spellStart"/>
        <w:r w:rsidRPr="00F0673F">
          <w:rPr>
            <w:sz w:val="20"/>
            <w:szCs w:val="20"/>
          </w:rPr>
          <w:t>ro-bangkok</w:t>
        </w:r>
        <w:proofErr w:type="spellEnd"/>
        <w:r w:rsidRPr="00F0673F">
          <w:rPr>
            <w:sz w:val="20"/>
            <w:szCs w:val="20"/>
          </w:rPr>
          <w:t>/documents/publication/wcms_bk_pb_93_en.pdf</w:t>
        </w:r>
      </w:hyperlink>
      <w:r w:rsidRPr="00F0673F">
        <w:rPr>
          <w:sz w:val="20"/>
          <w:szCs w:val="20"/>
        </w:rPr>
        <w:t>.</w:t>
      </w:r>
      <w:r w:rsidR="00655400">
        <w:rPr>
          <w:sz w:val="20"/>
          <w:szCs w:val="20"/>
        </w:rPr>
        <w:t xml:space="preserve"> </w:t>
      </w:r>
      <w:r w:rsidRPr="00F0673F">
        <w:rPr>
          <w:sz w:val="20"/>
          <w:szCs w:val="20"/>
        </w:rPr>
        <w:t xml:space="preserve"> </w:t>
      </w:r>
    </w:p>
  </w:endnote>
  <w:endnote w:id="98">
    <w:p w14:paraId="69EC871C" w14:textId="32A3674B"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This study does not include a disability perspective. Ministry of Health. </w:t>
      </w:r>
      <w:r w:rsidRPr="00655400">
        <w:rPr>
          <w:i/>
          <w:sz w:val="20"/>
          <w:szCs w:val="20"/>
        </w:rPr>
        <w:t>Violence Against Women in Colombia</w:t>
      </w:r>
      <w:r w:rsidRPr="00F0673F">
        <w:rPr>
          <w:sz w:val="20"/>
          <w:szCs w:val="20"/>
        </w:rPr>
        <w:t xml:space="preserve"> </w:t>
      </w:r>
      <w:r w:rsidR="00655400">
        <w:rPr>
          <w:sz w:val="20"/>
          <w:szCs w:val="20"/>
        </w:rPr>
        <w:t>89 (</w:t>
      </w:r>
      <w:r w:rsidRPr="00F0673F">
        <w:rPr>
          <w:sz w:val="20"/>
          <w:szCs w:val="20"/>
        </w:rPr>
        <w:t>2013</w:t>
      </w:r>
      <w:r w:rsidR="00655400">
        <w:rPr>
          <w:sz w:val="20"/>
          <w:szCs w:val="20"/>
        </w:rPr>
        <w:t>)</w:t>
      </w:r>
      <w:r w:rsidRPr="00F0673F">
        <w:rPr>
          <w:sz w:val="20"/>
          <w:szCs w:val="20"/>
        </w:rPr>
        <w:t>,</w:t>
      </w:r>
      <w:r w:rsidR="00655400">
        <w:rPr>
          <w:sz w:val="20"/>
          <w:szCs w:val="20"/>
        </w:rPr>
        <w:t xml:space="preserve"> </w:t>
      </w:r>
      <w:r w:rsidR="00655400">
        <w:rPr>
          <w:i/>
          <w:sz w:val="20"/>
          <w:szCs w:val="20"/>
        </w:rPr>
        <w:t>available at</w:t>
      </w:r>
      <w:r w:rsidRPr="00F0673F">
        <w:rPr>
          <w:sz w:val="20"/>
          <w:szCs w:val="20"/>
        </w:rPr>
        <w:t xml:space="preserve"> </w:t>
      </w:r>
      <w:hyperlink r:id="rId9">
        <w:r w:rsidRPr="00F0673F">
          <w:rPr>
            <w:sz w:val="20"/>
            <w:szCs w:val="20"/>
          </w:rPr>
          <w:t>https://www.minsalud.gov.co/sites/rid/Lists/BibliotecaDigital/RIDE/INEC/INV/7%20-%20VIOLENCIA%20CONTRA%20LAS%20MUJERES%20EN%20COLOMBIA.pdf</w:t>
        </w:r>
      </w:hyperlink>
      <w:r w:rsidR="00655400">
        <w:rPr>
          <w:sz w:val="20"/>
          <w:szCs w:val="20"/>
        </w:rPr>
        <w:t xml:space="preserve">. </w:t>
      </w:r>
    </w:p>
  </w:endnote>
  <w:endnote w:id="99">
    <w:p w14:paraId="3208295F" w14:textId="77777777" w:rsidR="00C937A5" w:rsidRPr="00F0673F" w:rsidRDefault="00C937A5" w:rsidP="00255789">
      <w:pPr>
        <w:rPr>
          <w:sz w:val="20"/>
          <w:szCs w:val="20"/>
        </w:rPr>
      </w:pPr>
      <w:r w:rsidRPr="00F0673F">
        <w:rPr>
          <w:sz w:val="20"/>
          <w:szCs w:val="20"/>
          <w:vertAlign w:val="superscript"/>
        </w:rPr>
        <w:endnoteRef/>
      </w:r>
      <w:r w:rsidRPr="00F0673F">
        <w:rPr>
          <w:sz w:val="20"/>
          <w:szCs w:val="20"/>
        </w:rPr>
        <w:t xml:space="preserve"> </w:t>
      </w:r>
      <w:r w:rsidRPr="00655400">
        <w:rPr>
          <w:i/>
          <w:sz w:val="20"/>
          <w:szCs w:val="20"/>
        </w:rPr>
        <w:t>Id</w:t>
      </w:r>
      <w:r w:rsidRPr="00F0673F">
        <w:rPr>
          <w:sz w:val="20"/>
          <w:szCs w:val="20"/>
        </w:rPr>
        <w:t>.</w:t>
      </w:r>
    </w:p>
  </w:endnote>
  <w:endnote w:id="100">
    <w:p w14:paraId="7E27E013" w14:textId="5143F07C"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ICESCR,</w:t>
      </w:r>
      <w:r w:rsidR="00655400">
        <w:rPr>
          <w:sz w:val="20"/>
          <w:szCs w:val="20"/>
        </w:rPr>
        <w:t xml:space="preserve"> </w:t>
      </w:r>
      <w:r w:rsidR="00655400">
        <w:rPr>
          <w:i/>
          <w:sz w:val="20"/>
          <w:szCs w:val="20"/>
        </w:rPr>
        <w:t>supra</w:t>
      </w:r>
      <w:r w:rsidR="00655400">
        <w:rPr>
          <w:sz w:val="20"/>
          <w:szCs w:val="20"/>
        </w:rPr>
        <w:t xml:space="preserve"> note 83,</w:t>
      </w:r>
      <w:r w:rsidRPr="00F0673F">
        <w:rPr>
          <w:sz w:val="20"/>
          <w:szCs w:val="20"/>
        </w:rPr>
        <w:t xml:space="preserve"> </w:t>
      </w:r>
      <w:r w:rsidR="00655400">
        <w:rPr>
          <w:sz w:val="20"/>
          <w:szCs w:val="20"/>
        </w:rPr>
        <w:t>a</w:t>
      </w:r>
      <w:r w:rsidRPr="00F0673F">
        <w:rPr>
          <w:sz w:val="20"/>
          <w:szCs w:val="20"/>
        </w:rPr>
        <w:t>rt. 7.</w:t>
      </w:r>
    </w:p>
  </w:endnote>
  <w:endnote w:id="101">
    <w:p w14:paraId="5ACC2C71" w14:textId="77777777" w:rsidR="00C937A5" w:rsidRPr="00F0673F" w:rsidRDefault="00C937A5" w:rsidP="00255789">
      <w:pPr>
        <w:pStyle w:val="EndnoteText"/>
        <w:jc w:val="left"/>
        <w:rPr>
          <w:sz w:val="20"/>
          <w:szCs w:val="20"/>
        </w:rPr>
      </w:pPr>
      <w:r w:rsidRPr="00F0673F">
        <w:rPr>
          <w:rStyle w:val="EndnoteReference"/>
          <w:sz w:val="20"/>
          <w:szCs w:val="20"/>
        </w:rPr>
        <w:endnoteRef/>
      </w:r>
      <w:r w:rsidRPr="00F0673F">
        <w:rPr>
          <w:sz w:val="20"/>
          <w:szCs w:val="20"/>
        </w:rPr>
        <w:t xml:space="preserve"> ESCR Committee, </w:t>
      </w:r>
      <w:r w:rsidRPr="00F0673F">
        <w:rPr>
          <w:i/>
          <w:sz w:val="20"/>
          <w:szCs w:val="20"/>
        </w:rPr>
        <w:t>General Comment No. 23: On the Right to just and favorable conditions of work</w:t>
      </w:r>
      <w:r w:rsidRPr="00F0673F">
        <w:rPr>
          <w:sz w:val="20"/>
          <w:szCs w:val="20"/>
        </w:rPr>
        <w:t xml:space="preserve">, ¶ 32, U.N. Doc. E/C.12/GC/23 (2016).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47ED4" w14:textId="77777777" w:rsidR="00C937A5" w:rsidRDefault="00C937A5">
    <w:pPr>
      <w:jc w:val="right"/>
    </w:pPr>
    <w:r>
      <w:fldChar w:fldCharType="begin"/>
    </w:r>
    <w:r>
      <w:instrText>PAGE</w:instrText>
    </w:r>
    <w:r>
      <w:fldChar w:fldCharType="separate"/>
    </w:r>
    <w:r w:rsidR="009055A0">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28F77" w14:textId="77777777" w:rsidR="006C5EF7" w:rsidRDefault="006C5EF7">
      <w:r>
        <w:separator/>
      </w:r>
    </w:p>
  </w:footnote>
  <w:footnote w:type="continuationSeparator" w:id="0">
    <w:p w14:paraId="70CB3DF8" w14:textId="77777777" w:rsidR="006C5EF7" w:rsidRDefault="006C5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3D80" w14:textId="77777777" w:rsidR="00C937A5" w:rsidRDefault="00C937A5" w:rsidP="002239D6">
    <w:pPr>
      <w:pStyle w:val="Header"/>
      <w:ind w:left="-540"/>
    </w:pPr>
    <w:r w:rsidRPr="00E559EE">
      <w:rPr>
        <w:noProof/>
      </w:rPr>
      <w:drawing>
        <wp:inline distT="0" distB="0" distL="0" distR="0" wp14:anchorId="34941445" wp14:editId="2FDA5A75">
          <wp:extent cx="1742109" cy="1602740"/>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45337" cy="1605709"/>
                  </a:xfrm>
                  <a:prstGeom prst="rect">
                    <a:avLst/>
                  </a:prstGeom>
                </pic:spPr>
              </pic:pic>
            </a:graphicData>
          </a:graphic>
        </wp:inline>
      </w:drawing>
    </w:r>
    <w:r>
      <w:t xml:space="preserve"> </w:t>
    </w:r>
    <w:r w:rsidRPr="00E559EE">
      <w:rPr>
        <w:noProof/>
      </w:rPr>
      <w:drawing>
        <wp:inline distT="0" distB="0" distL="0" distR="0" wp14:anchorId="66CD079A" wp14:editId="62A99BA0">
          <wp:extent cx="3649123" cy="1265497"/>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728653" cy="1293078"/>
                  </a:xfrm>
                  <a:prstGeom prst="rect">
                    <a:avLst/>
                  </a:prstGeom>
                </pic:spPr>
              </pic:pic>
            </a:graphicData>
          </a:graphic>
        </wp:inline>
      </w:drawing>
    </w:r>
    <w:r>
      <w:tab/>
    </w:r>
    <w:r w:rsidRPr="000C2801">
      <w:rPr>
        <w:noProof/>
      </w:rPr>
      <w:drawing>
        <wp:inline distT="0" distB="0" distL="0" distR="0" wp14:anchorId="1FC42C8F" wp14:editId="43EE1ED9">
          <wp:extent cx="1257675" cy="174677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65746" cy="1757980"/>
                  </a:xfrm>
                  <a:prstGeom prst="rect">
                    <a:avLst/>
                  </a:prstGeom>
                </pic:spPr>
              </pic:pic>
            </a:graphicData>
          </a:graphic>
        </wp:inline>
      </w:drawing>
    </w:r>
  </w:p>
  <w:p w14:paraId="13411E20" w14:textId="77777777" w:rsidR="00C937A5" w:rsidRDefault="00C937A5" w:rsidP="000C28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CBA7C60"/>
    <w:lvl w:ilvl="0">
      <w:start w:val="1"/>
      <w:numFmt w:val="decimal"/>
      <w:pStyle w:val="ListNumber"/>
      <w:lvlText w:val="%1."/>
      <w:lvlJc w:val="left"/>
      <w:pPr>
        <w:tabs>
          <w:tab w:val="num" w:pos="360"/>
        </w:tabs>
        <w:ind w:left="360" w:hanging="360"/>
      </w:pPr>
    </w:lvl>
  </w:abstractNum>
  <w:abstractNum w:abstractNumId="1">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61098D"/>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A846E5"/>
    <w:multiLevelType w:val="multilevel"/>
    <w:tmpl w:val="519E91D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0111DCF"/>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nsid w:val="12416EA0"/>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13474927"/>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6C6671"/>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
    <w:nsid w:val="1B886833"/>
    <w:multiLevelType w:val="multilevel"/>
    <w:tmpl w:val="5E6E17D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1F2D4704"/>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F62261"/>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24D95E10"/>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DF4CF0"/>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29BB227D"/>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nsid w:val="2A3D21EF"/>
    <w:multiLevelType w:val="multilevel"/>
    <w:tmpl w:val="FF4C8D4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nsid w:val="2B6635A5"/>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nsid w:val="31624A03"/>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7">
    <w:nsid w:val="333357D0"/>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7225C0"/>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BC95E7F"/>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E2D7B44"/>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41174B93"/>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2C13A9E"/>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nsid w:val="47C51C84"/>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B246B5B"/>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nsid w:val="4EC532CE"/>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6">
    <w:nsid w:val="55E21455"/>
    <w:multiLevelType w:val="multilevel"/>
    <w:tmpl w:val="519E91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7D55DFB"/>
    <w:multiLevelType w:val="multilevel"/>
    <w:tmpl w:val="519E91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9D57B09"/>
    <w:multiLevelType w:val="multilevel"/>
    <w:tmpl w:val="25F0CA8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nsid w:val="5C2B3A47"/>
    <w:multiLevelType w:val="multilevel"/>
    <w:tmpl w:val="DE4452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66884C11"/>
    <w:multiLevelType w:val="multilevel"/>
    <w:tmpl w:val="BC98C67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sz w:val="24"/>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nsid w:val="6C1952AC"/>
    <w:multiLevelType w:val="multilevel"/>
    <w:tmpl w:val="519E91D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8662835"/>
    <w:multiLevelType w:val="multilevel"/>
    <w:tmpl w:val="3586C5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6E48E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29"/>
  </w:num>
  <w:num w:numId="2">
    <w:abstractNumId w:val="2"/>
  </w:num>
  <w:num w:numId="3">
    <w:abstractNumId w:val="14"/>
  </w:num>
  <w:num w:numId="4">
    <w:abstractNumId w:val="33"/>
  </w:num>
  <w:num w:numId="5">
    <w:abstractNumId w:val="8"/>
  </w:num>
  <w:num w:numId="6">
    <w:abstractNumId w:val="6"/>
  </w:num>
  <w:num w:numId="7">
    <w:abstractNumId w:val="9"/>
  </w:num>
  <w:num w:numId="8">
    <w:abstractNumId w:val="11"/>
  </w:num>
  <w:num w:numId="9">
    <w:abstractNumId w:val="21"/>
  </w:num>
  <w:num w:numId="10">
    <w:abstractNumId w:val="32"/>
  </w:num>
  <w:num w:numId="11">
    <w:abstractNumId w:val="19"/>
  </w:num>
  <w:num w:numId="12">
    <w:abstractNumId w:val="23"/>
  </w:num>
  <w:num w:numId="13">
    <w:abstractNumId w:val="17"/>
  </w:num>
  <w:num w:numId="14">
    <w:abstractNumId w:val="3"/>
  </w:num>
  <w:num w:numId="15">
    <w:abstractNumId w:val="13"/>
  </w:num>
  <w:num w:numId="16">
    <w:abstractNumId w:val="12"/>
  </w:num>
  <w:num w:numId="17">
    <w:abstractNumId w:val="0"/>
  </w:num>
  <w:num w:numId="18">
    <w:abstractNumId w:val="7"/>
  </w:num>
  <w:num w:numId="19">
    <w:abstractNumId w:val="26"/>
  </w:num>
  <w:num w:numId="20">
    <w:abstractNumId w:val="15"/>
  </w:num>
  <w:num w:numId="21">
    <w:abstractNumId w:val="18"/>
  </w:num>
  <w:num w:numId="22">
    <w:abstractNumId w:val="27"/>
  </w:num>
  <w:num w:numId="23">
    <w:abstractNumId w:val="31"/>
  </w:num>
  <w:num w:numId="24">
    <w:abstractNumId w:val="28"/>
  </w:num>
  <w:num w:numId="25">
    <w:abstractNumId w:val="16"/>
  </w:num>
  <w:num w:numId="26">
    <w:abstractNumId w:val="10"/>
  </w:num>
  <w:num w:numId="27">
    <w:abstractNumId w:val="4"/>
  </w:num>
  <w:num w:numId="28">
    <w:abstractNumId w:val="5"/>
  </w:num>
  <w:num w:numId="29">
    <w:abstractNumId w:val="30"/>
  </w:num>
  <w:num w:numId="30">
    <w:abstractNumId w:val="20"/>
  </w:num>
  <w:num w:numId="31">
    <w:abstractNumId w:val="22"/>
  </w:num>
  <w:num w:numId="32">
    <w:abstractNumId w:val="24"/>
  </w:num>
  <w:num w:numId="33">
    <w:abstractNumId w:val="25"/>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
  <w:rsids>
    <w:rsidRoot w:val="00AC1E53"/>
    <w:rsid w:val="000453EA"/>
    <w:rsid w:val="000557C4"/>
    <w:rsid w:val="000639A2"/>
    <w:rsid w:val="00064493"/>
    <w:rsid w:val="0006675F"/>
    <w:rsid w:val="0008396A"/>
    <w:rsid w:val="000C2801"/>
    <w:rsid w:val="000C2E1E"/>
    <w:rsid w:val="000C40E9"/>
    <w:rsid w:val="00113872"/>
    <w:rsid w:val="00137FC2"/>
    <w:rsid w:val="00163E7D"/>
    <w:rsid w:val="001641E0"/>
    <w:rsid w:val="001753D9"/>
    <w:rsid w:val="001B40C5"/>
    <w:rsid w:val="001C2824"/>
    <w:rsid w:val="001D0466"/>
    <w:rsid w:val="001D3132"/>
    <w:rsid w:val="001E2B36"/>
    <w:rsid w:val="001E2E30"/>
    <w:rsid w:val="001E7DDC"/>
    <w:rsid w:val="001F46C6"/>
    <w:rsid w:val="002218E9"/>
    <w:rsid w:val="002239D6"/>
    <w:rsid w:val="00225008"/>
    <w:rsid w:val="002275E6"/>
    <w:rsid w:val="00234EC5"/>
    <w:rsid w:val="00255789"/>
    <w:rsid w:val="002612E5"/>
    <w:rsid w:val="002A319E"/>
    <w:rsid w:val="002A3C2C"/>
    <w:rsid w:val="002C23FB"/>
    <w:rsid w:val="00307EE9"/>
    <w:rsid w:val="003103EA"/>
    <w:rsid w:val="003243CB"/>
    <w:rsid w:val="0032516B"/>
    <w:rsid w:val="00341FF1"/>
    <w:rsid w:val="00384CC6"/>
    <w:rsid w:val="00391538"/>
    <w:rsid w:val="003A2DFB"/>
    <w:rsid w:val="003B344F"/>
    <w:rsid w:val="003B6565"/>
    <w:rsid w:val="003B6F0E"/>
    <w:rsid w:val="003D0EAB"/>
    <w:rsid w:val="003D44FC"/>
    <w:rsid w:val="003E0A64"/>
    <w:rsid w:val="003E16C5"/>
    <w:rsid w:val="00411037"/>
    <w:rsid w:val="00464803"/>
    <w:rsid w:val="0048791C"/>
    <w:rsid w:val="004A7624"/>
    <w:rsid w:val="004B5876"/>
    <w:rsid w:val="004B7C0B"/>
    <w:rsid w:val="004D1E2B"/>
    <w:rsid w:val="004D33A3"/>
    <w:rsid w:val="004D64CD"/>
    <w:rsid w:val="004D6A76"/>
    <w:rsid w:val="00513510"/>
    <w:rsid w:val="005175C4"/>
    <w:rsid w:val="005177B9"/>
    <w:rsid w:val="00527E93"/>
    <w:rsid w:val="00536D6B"/>
    <w:rsid w:val="0054200F"/>
    <w:rsid w:val="00542CA5"/>
    <w:rsid w:val="005515F3"/>
    <w:rsid w:val="00553847"/>
    <w:rsid w:val="005D2836"/>
    <w:rsid w:val="005E315B"/>
    <w:rsid w:val="005F23BD"/>
    <w:rsid w:val="0060531C"/>
    <w:rsid w:val="00614B89"/>
    <w:rsid w:val="00620ECE"/>
    <w:rsid w:val="00622B4C"/>
    <w:rsid w:val="006278B3"/>
    <w:rsid w:val="00635311"/>
    <w:rsid w:val="00645CCB"/>
    <w:rsid w:val="00652092"/>
    <w:rsid w:val="00655400"/>
    <w:rsid w:val="0067107C"/>
    <w:rsid w:val="006A4CFA"/>
    <w:rsid w:val="006B2DE7"/>
    <w:rsid w:val="006C5EF7"/>
    <w:rsid w:val="006E38FC"/>
    <w:rsid w:val="006F5600"/>
    <w:rsid w:val="007321E3"/>
    <w:rsid w:val="00751806"/>
    <w:rsid w:val="007730FE"/>
    <w:rsid w:val="00783C43"/>
    <w:rsid w:val="007A04EF"/>
    <w:rsid w:val="007A4FFE"/>
    <w:rsid w:val="007B62C5"/>
    <w:rsid w:val="007C1810"/>
    <w:rsid w:val="007D0193"/>
    <w:rsid w:val="007D2928"/>
    <w:rsid w:val="007E4675"/>
    <w:rsid w:val="007F6F2F"/>
    <w:rsid w:val="008021B5"/>
    <w:rsid w:val="008067B6"/>
    <w:rsid w:val="00810BE0"/>
    <w:rsid w:val="0084144D"/>
    <w:rsid w:val="00843597"/>
    <w:rsid w:val="0084526D"/>
    <w:rsid w:val="008526EF"/>
    <w:rsid w:val="00857D1F"/>
    <w:rsid w:val="00872AE9"/>
    <w:rsid w:val="00896E8F"/>
    <w:rsid w:val="008C12AD"/>
    <w:rsid w:val="008C4DC4"/>
    <w:rsid w:val="008D6413"/>
    <w:rsid w:val="008E0C4F"/>
    <w:rsid w:val="008F4C1F"/>
    <w:rsid w:val="009055A0"/>
    <w:rsid w:val="0090564B"/>
    <w:rsid w:val="00922A7D"/>
    <w:rsid w:val="00923351"/>
    <w:rsid w:val="00933F20"/>
    <w:rsid w:val="00971757"/>
    <w:rsid w:val="009725F4"/>
    <w:rsid w:val="00980013"/>
    <w:rsid w:val="00992C6C"/>
    <w:rsid w:val="009A0501"/>
    <w:rsid w:val="009A4BA4"/>
    <w:rsid w:val="009B7B85"/>
    <w:rsid w:val="009F608D"/>
    <w:rsid w:val="00A0481F"/>
    <w:rsid w:val="00A3666B"/>
    <w:rsid w:val="00A66D31"/>
    <w:rsid w:val="00A67F66"/>
    <w:rsid w:val="00AA15A1"/>
    <w:rsid w:val="00AA27A6"/>
    <w:rsid w:val="00AA7554"/>
    <w:rsid w:val="00AB4486"/>
    <w:rsid w:val="00AB5247"/>
    <w:rsid w:val="00AC1E53"/>
    <w:rsid w:val="00AD40AE"/>
    <w:rsid w:val="00AE451B"/>
    <w:rsid w:val="00AE5187"/>
    <w:rsid w:val="00AE63D7"/>
    <w:rsid w:val="00AF0339"/>
    <w:rsid w:val="00AF03D6"/>
    <w:rsid w:val="00AF5561"/>
    <w:rsid w:val="00B02C0C"/>
    <w:rsid w:val="00B17410"/>
    <w:rsid w:val="00B261BE"/>
    <w:rsid w:val="00B27941"/>
    <w:rsid w:val="00B61766"/>
    <w:rsid w:val="00B627AA"/>
    <w:rsid w:val="00B62BB5"/>
    <w:rsid w:val="00B76335"/>
    <w:rsid w:val="00B771B8"/>
    <w:rsid w:val="00BA7B8E"/>
    <w:rsid w:val="00BB6DB0"/>
    <w:rsid w:val="00BC5253"/>
    <w:rsid w:val="00BC5BD0"/>
    <w:rsid w:val="00BD4AF6"/>
    <w:rsid w:val="00BE0F39"/>
    <w:rsid w:val="00C05B19"/>
    <w:rsid w:val="00C105B0"/>
    <w:rsid w:val="00C12A32"/>
    <w:rsid w:val="00C338B5"/>
    <w:rsid w:val="00C4278C"/>
    <w:rsid w:val="00C44113"/>
    <w:rsid w:val="00C44EE6"/>
    <w:rsid w:val="00C769E7"/>
    <w:rsid w:val="00C8565D"/>
    <w:rsid w:val="00C937A5"/>
    <w:rsid w:val="00CB187C"/>
    <w:rsid w:val="00CB1FAD"/>
    <w:rsid w:val="00CB7346"/>
    <w:rsid w:val="00CC3856"/>
    <w:rsid w:val="00D02E9A"/>
    <w:rsid w:val="00D0307C"/>
    <w:rsid w:val="00D05E15"/>
    <w:rsid w:val="00D61CD1"/>
    <w:rsid w:val="00D8599C"/>
    <w:rsid w:val="00D861B7"/>
    <w:rsid w:val="00DC3628"/>
    <w:rsid w:val="00DD4915"/>
    <w:rsid w:val="00DD5DB5"/>
    <w:rsid w:val="00DF1D87"/>
    <w:rsid w:val="00E00583"/>
    <w:rsid w:val="00E029F8"/>
    <w:rsid w:val="00E1628E"/>
    <w:rsid w:val="00E27C99"/>
    <w:rsid w:val="00E40A79"/>
    <w:rsid w:val="00E5406E"/>
    <w:rsid w:val="00E559EE"/>
    <w:rsid w:val="00E73DAE"/>
    <w:rsid w:val="00E775BE"/>
    <w:rsid w:val="00E778A8"/>
    <w:rsid w:val="00E950E6"/>
    <w:rsid w:val="00E95F18"/>
    <w:rsid w:val="00EA436F"/>
    <w:rsid w:val="00EF79B9"/>
    <w:rsid w:val="00F01579"/>
    <w:rsid w:val="00F0673F"/>
    <w:rsid w:val="00F1105C"/>
    <w:rsid w:val="00F2747C"/>
    <w:rsid w:val="00F40372"/>
    <w:rsid w:val="00F45581"/>
    <w:rsid w:val="00F64426"/>
    <w:rsid w:val="00F657E5"/>
    <w:rsid w:val="00F91DDE"/>
    <w:rsid w:val="00F94415"/>
    <w:rsid w:val="00FB195A"/>
    <w:rsid w:val="00FB1D2A"/>
    <w:rsid w:val="00FC676E"/>
    <w:rsid w:val="00FD5E87"/>
    <w:rsid w:val="00FE5D61"/>
    <w:rsid w:val="00FF06BE"/>
    <w:rsid w:val="00FF5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F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2"/>
        <w:szCs w:val="22"/>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2B"/>
    <w:pPr>
      <w:pBdr>
        <w:top w:val="none" w:sz="0" w:space="0" w:color="auto"/>
        <w:left w:val="none" w:sz="0" w:space="0" w:color="auto"/>
        <w:bottom w:val="none" w:sz="0" w:space="0" w:color="auto"/>
        <w:right w:val="none" w:sz="0" w:space="0" w:color="auto"/>
        <w:between w:val="none" w:sz="0" w:space="0" w:color="auto"/>
      </w:pBdr>
      <w:jc w:val="left"/>
    </w:pPr>
    <w:rPr>
      <w:color w:val="auto"/>
      <w:sz w:val="24"/>
      <w:szCs w:val="24"/>
    </w:rPr>
  </w:style>
  <w:style w:type="paragraph" w:styleId="Heading1">
    <w:name w:val="heading 1"/>
    <w:basedOn w:val="Normal"/>
    <w:next w:val="Normal"/>
    <w:pPr>
      <w:keepNext/>
      <w:keepLines/>
      <w:numPr>
        <w:numId w:val="4"/>
      </w:numPr>
      <w:pBdr>
        <w:top w:val="nil"/>
        <w:left w:val="nil"/>
        <w:bottom w:val="nil"/>
        <w:right w:val="nil"/>
        <w:between w:val="nil"/>
      </w:pBdr>
      <w:spacing w:before="480" w:after="120"/>
      <w:jc w:val="both"/>
      <w:outlineLvl w:val="0"/>
    </w:pPr>
    <w:rPr>
      <w:b/>
      <w:color w:val="000000"/>
      <w:sz w:val="48"/>
      <w:szCs w:val="48"/>
    </w:rPr>
  </w:style>
  <w:style w:type="paragraph" w:styleId="Heading2">
    <w:name w:val="heading 2"/>
    <w:basedOn w:val="Normal"/>
    <w:next w:val="Normal"/>
    <w:pPr>
      <w:keepNext/>
      <w:keepLines/>
      <w:numPr>
        <w:ilvl w:val="1"/>
        <w:numId w:val="4"/>
      </w:numPr>
      <w:pBdr>
        <w:top w:val="nil"/>
        <w:left w:val="nil"/>
        <w:bottom w:val="nil"/>
        <w:right w:val="nil"/>
        <w:between w:val="nil"/>
      </w:pBdr>
      <w:spacing w:before="360" w:after="80"/>
      <w:jc w:val="both"/>
      <w:outlineLvl w:val="1"/>
    </w:pPr>
    <w:rPr>
      <w:b/>
      <w:color w:val="000000"/>
      <w:sz w:val="36"/>
      <w:szCs w:val="36"/>
    </w:rPr>
  </w:style>
  <w:style w:type="paragraph" w:styleId="Heading3">
    <w:name w:val="heading 3"/>
    <w:basedOn w:val="Normal"/>
    <w:next w:val="Normal"/>
    <w:pPr>
      <w:keepNext/>
      <w:keepLines/>
      <w:numPr>
        <w:ilvl w:val="2"/>
        <w:numId w:val="4"/>
      </w:numPr>
      <w:pBdr>
        <w:top w:val="nil"/>
        <w:left w:val="nil"/>
        <w:bottom w:val="nil"/>
        <w:right w:val="nil"/>
        <w:between w:val="nil"/>
      </w:pBdr>
      <w:spacing w:before="280" w:after="80"/>
      <w:jc w:val="both"/>
      <w:outlineLvl w:val="2"/>
    </w:pPr>
    <w:rPr>
      <w:b/>
      <w:color w:val="000000"/>
      <w:sz w:val="28"/>
      <w:szCs w:val="28"/>
    </w:rPr>
  </w:style>
  <w:style w:type="paragraph" w:styleId="Heading4">
    <w:name w:val="heading 4"/>
    <w:basedOn w:val="Normal"/>
    <w:next w:val="Normal"/>
    <w:pPr>
      <w:keepNext/>
      <w:keepLines/>
      <w:numPr>
        <w:ilvl w:val="3"/>
        <w:numId w:val="4"/>
      </w:numPr>
      <w:pBdr>
        <w:top w:val="nil"/>
        <w:left w:val="nil"/>
        <w:bottom w:val="nil"/>
        <w:right w:val="nil"/>
        <w:between w:val="nil"/>
      </w:pBdr>
      <w:spacing w:before="240" w:after="40"/>
      <w:jc w:val="both"/>
      <w:outlineLvl w:val="3"/>
    </w:pPr>
    <w:rPr>
      <w:b/>
      <w:color w:val="000000"/>
    </w:rPr>
  </w:style>
  <w:style w:type="paragraph" w:styleId="Heading5">
    <w:name w:val="heading 5"/>
    <w:basedOn w:val="Normal"/>
    <w:next w:val="Normal"/>
    <w:pPr>
      <w:keepNext/>
      <w:keepLines/>
      <w:numPr>
        <w:ilvl w:val="4"/>
        <w:numId w:val="4"/>
      </w:numPr>
      <w:pBdr>
        <w:top w:val="nil"/>
        <w:left w:val="nil"/>
        <w:bottom w:val="nil"/>
        <w:right w:val="nil"/>
        <w:between w:val="nil"/>
      </w:pBdr>
      <w:spacing w:before="220" w:after="40"/>
      <w:jc w:val="both"/>
      <w:outlineLvl w:val="4"/>
    </w:pPr>
    <w:rPr>
      <w:b/>
      <w:color w:val="000000"/>
      <w:sz w:val="22"/>
      <w:szCs w:val="22"/>
    </w:rPr>
  </w:style>
  <w:style w:type="paragraph" w:styleId="Heading6">
    <w:name w:val="heading 6"/>
    <w:basedOn w:val="Normal"/>
    <w:next w:val="Normal"/>
    <w:pPr>
      <w:keepNext/>
      <w:keepLines/>
      <w:numPr>
        <w:ilvl w:val="5"/>
        <w:numId w:val="4"/>
      </w:numPr>
      <w:pBdr>
        <w:top w:val="nil"/>
        <w:left w:val="nil"/>
        <w:bottom w:val="nil"/>
        <w:right w:val="nil"/>
        <w:between w:val="nil"/>
      </w:pBdr>
      <w:spacing w:before="200" w:after="40"/>
      <w:jc w:val="both"/>
      <w:outlineLvl w:val="5"/>
    </w:pPr>
    <w:rPr>
      <w:b/>
      <w:color w:val="000000"/>
      <w:sz w:val="20"/>
      <w:szCs w:val="20"/>
    </w:rPr>
  </w:style>
  <w:style w:type="paragraph" w:styleId="Heading7">
    <w:name w:val="heading 7"/>
    <w:basedOn w:val="Normal"/>
    <w:next w:val="Normal"/>
    <w:link w:val="Heading7Char"/>
    <w:uiPriority w:val="9"/>
    <w:semiHidden/>
    <w:unhideWhenUsed/>
    <w:qFormat/>
    <w:rsid w:val="00620ECE"/>
    <w:pPr>
      <w:keepNext/>
      <w:keepLines/>
      <w:numPr>
        <w:ilvl w:val="6"/>
        <w:numId w:val="4"/>
      </w:numPr>
      <w:pBdr>
        <w:top w:val="nil"/>
        <w:left w:val="nil"/>
        <w:bottom w:val="nil"/>
        <w:right w:val="nil"/>
        <w:between w:val="nil"/>
      </w:pBdr>
      <w:spacing w:before="40"/>
      <w:jc w:val="both"/>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620ECE"/>
    <w:pPr>
      <w:keepNext/>
      <w:keepLines/>
      <w:numPr>
        <w:ilvl w:val="7"/>
        <w:numId w:val="4"/>
      </w:numPr>
      <w:pBdr>
        <w:top w:val="nil"/>
        <w:left w:val="nil"/>
        <w:bottom w:val="nil"/>
        <w:right w:val="nil"/>
        <w:between w:val="nil"/>
      </w:pBd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0ECE"/>
    <w:pPr>
      <w:keepNext/>
      <w:keepLines/>
      <w:numPr>
        <w:ilvl w:val="8"/>
        <w:numId w:val="4"/>
      </w:numPr>
      <w:pBdr>
        <w:top w:val="nil"/>
        <w:left w:val="nil"/>
        <w:bottom w:val="nil"/>
        <w:right w:val="nil"/>
        <w:between w:val="nil"/>
      </w:pBd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jc w:val="both"/>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jc w:val="both"/>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pBdr>
        <w:top w:val="nil"/>
        <w:left w:val="nil"/>
        <w:bottom w:val="nil"/>
        <w:right w:val="nil"/>
        <w:between w:val="nil"/>
      </w:pBdr>
      <w:jc w:val="both"/>
    </w:pPr>
    <w:rPr>
      <w:color w:val="000000"/>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7410"/>
    <w:pPr>
      <w:pBdr>
        <w:top w:val="nil"/>
        <w:left w:val="nil"/>
        <w:bottom w:val="nil"/>
        <w:right w:val="nil"/>
        <w:between w:val="nil"/>
      </w:pBdr>
      <w:jc w:val="both"/>
    </w:pPr>
    <w:rPr>
      <w:color w:val="000000"/>
      <w:sz w:val="18"/>
      <w:szCs w:val="18"/>
    </w:rPr>
  </w:style>
  <w:style w:type="character" w:customStyle="1" w:styleId="BalloonTextChar">
    <w:name w:val="Balloon Text Char"/>
    <w:basedOn w:val="DefaultParagraphFont"/>
    <w:link w:val="BalloonText"/>
    <w:uiPriority w:val="99"/>
    <w:semiHidden/>
    <w:rsid w:val="00B17410"/>
    <w:rPr>
      <w:sz w:val="18"/>
      <w:szCs w:val="18"/>
    </w:rPr>
  </w:style>
  <w:style w:type="paragraph" w:styleId="FootnoteText">
    <w:name w:val="footnote text"/>
    <w:basedOn w:val="Normal"/>
    <w:link w:val="FootnoteTextChar"/>
    <w:uiPriority w:val="99"/>
    <w:unhideWhenUsed/>
    <w:rsid w:val="00B17410"/>
    <w:pPr>
      <w:widowControl w:val="0"/>
    </w:pPr>
    <w:rPr>
      <w:rFonts w:ascii="Cambria" w:eastAsia="Cambria" w:hAnsi="Cambria" w:cs="Cambria"/>
      <w:color w:val="000000"/>
      <w:sz w:val="22"/>
      <w:lang w:eastAsia="de-DE"/>
    </w:rPr>
  </w:style>
  <w:style w:type="character" w:customStyle="1" w:styleId="FootnoteTextChar">
    <w:name w:val="Footnote Text Char"/>
    <w:basedOn w:val="DefaultParagraphFont"/>
    <w:link w:val="FootnoteText"/>
    <w:uiPriority w:val="99"/>
    <w:rsid w:val="00B17410"/>
    <w:rPr>
      <w:rFonts w:ascii="Cambria" w:eastAsia="Cambria" w:hAnsi="Cambria" w:cs="Cambria"/>
      <w:szCs w:val="24"/>
      <w:lang w:eastAsia="de-DE"/>
    </w:rPr>
  </w:style>
  <w:style w:type="character" w:styleId="FootnoteReference">
    <w:name w:val="footnote reference"/>
    <w:aliases w:val="Footnotes refss,Texto de nota al pie,Appel note de bas de page,Footnote number,referencia nota al pie,BVI fnr,f,Ref. de nota al pie.,4_G,16 Point,Superscript 6 Point,Footnote symbol,Footnote,Texto nota al pie,Ref. de nota al pi,Ref"/>
    <w:basedOn w:val="DefaultParagraphFont"/>
    <w:unhideWhenUsed/>
    <w:rsid w:val="00B17410"/>
    <w:rPr>
      <w:vertAlign w:val="superscript"/>
    </w:rPr>
  </w:style>
  <w:style w:type="character" w:styleId="Hyperlink">
    <w:name w:val="Hyperlink"/>
    <w:basedOn w:val="DefaultParagraphFont"/>
    <w:uiPriority w:val="99"/>
    <w:unhideWhenUsed/>
    <w:rsid w:val="00B1741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F5561"/>
    <w:rPr>
      <w:b/>
      <w:bCs/>
      <w:sz w:val="20"/>
      <w:szCs w:val="20"/>
    </w:rPr>
  </w:style>
  <w:style w:type="character" w:customStyle="1" w:styleId="CommentSubjectChar">
    <w:name w:val="Comment Subject Char"/>
    <w:basedOn w:val="CommentTextChar"/>
    <w:link w:val="CommentSubject"/>
    <w:uiPriority w:val="99"/>
    <w:semiHidden/>
    <w:rsid w:val="00AF5561"/>
    <w:rPr>
      <w:b/>
      <w:bCs/>
      <w:sz w:val="20"/>
      <w:szCs w:val="20"/>
    </w:rPr>
  </w:style>
  <w:style w:type="paragraph" w:styleId="ListParagraph">
    <w:name w:val="List Paragraph"/>
    <w:basedOn w:val="Normal"/>
    <w:uiPriority w:val="34"/>
    <w:qFormat/>
    <w:rsid w:val="00AA7554"/>
    <w:pPr>
      <w:pBdr>
        <w:top w:val="nil"/>
        <w:left w:val="nil"/>
        <w:bottom w:val="nil"/>
        <w:right w:val="nil"/>
        <w:between w:val="nil"/>
      </w:pBdr>
      <w:ind w:left="720"/>
      <w:contextualSpacing/>
      <w:jc w:val="both"/>
    </w:pPr>
    <w:rPr>
      <w:color w:val="000000"/>
      <w:sz w:val="22"/>
      <w:szCs w:val="22"/>
    </w:rPr>
  </w:style>
  <w:style w:type="character" w:customStyle="1" w:styleId="FootnoteCharacters">
    <w:name w:val="Footnote Characters"/>
    <w:rsid w:val="00EF79B9"/>
    <w:rPr>
      <w:vertAlign w:val="superscript"/>
    </w:rPr>
  </w:style>
  <w:style w:type="paragraph" w:styleId="NormalWeb">
    <w:name w:val="Normal (Web)"/>
    <w:basedOn w:val="Normal"/>
    <w:uiPriority w:val="99"/>
    <w:rsid w:val="00EF79B9"/>
    <w:pPr>
      <w:suppressAutoHyphens/>
      <w:spacing w:before="28" w:after="28"/>
    </w:pPr>
    <w:rPr>
      <w:kern w:val="1"/>
      <w:lang w:eastAsia="ar-SA"/>
    </w:rPr>
  </w:style>
  <w:style w:type="character" w:styleId="FollowedHyperlink">
    <w:name w:val="FollowedHyperlink"/>
    <w:basedOn w:val="DefaultParagraphFont"/>
    <w:uiPriority w:val="99"/>
    <w:semiHidden/>
    <w:unhideWhenUsed/>
    <w:rsid w:val="00113872"/>
    <w:rPr>
      <w:color w:val="954F72" w:themeColor="followedHyperlink"/>
      <w:u w:val="single"/>
    </w:rPr>
  </w:style>
  <w:style w:type="paragraph" w:styleId="EndnoteText">
    <w:name w:val="endnote text"/>
    <w:basedOn w:val="Normal"/>
    <w:link w:val="EndnoteTextChar"/>
    <w:uiPriority w:val="99"/>
    <w:unhideWhenUsed/>
    <w:rsid w:val="005E315B"/>
    <w:pPr>
      <w:pBdr>
        <w:top w:val="nil"/>
        <w:left w:val="nil"/>
        <w:bottom w:val="nil"/>
        <w:right w:val="nil"/>
        <w:between w:val="nil"/>
      </w:pBdr>
      <w:jc w:val="both"/>
    </w:pPr>
    <w:rPr>
      <w:color w:val="000000"/>
    </w:rPr>
  </w:style>
  <w:style w:type="character" w:customStyle="1" w:styleId="EndnoteTextChar">
    <w:name w:val="Endnote Text Char"/>
    <w:basedOn w:val="DefaultParagraphFont"/>
    <w:link w:val="EndnoteText"/>
    <w:uiPriority w:val="99"/>
    <w:rsid w:val="005E315B"/>
    <w:rPr>
      <w:sz w:val="24"/>
      <w:szCs w:val="24"/>
    </w:rPr>
  </w:style>
  <w:style w:type="character" w:styleId="EndnoteReference">
    <w:name w:val="endnote reference"/>
    <w:basedOn w:val="DefaultParagraphFont"/>
    <w:uiPriority w:val="99"/>
    <w:unhideWhenUsed/>
    <w:rsid w:val="005E315B"/>
    <w:rPr>
      <w:vertAlign w:val="superscript"/>
    </w:rPr>
  </w:style>
  <w:style w:type="paragraph" w:styleId="Header">
    <w:name w:val="header"/>
    <w:basedOn w:val="Normal"/>
    <w:link w:val="HeaderChar"/>
    <w:uiPriority w:val="99"/>
    <w:unhideWhenUsed/>
    <w:rsid w:val="00614B89"/>
    <w:pPr>
      <w:pBdr>
        <w:top w:val="nil"/>
        <w:left w:val="nil"/>
        <w:bottom w:val="nil"/>
        <w:right w:val="nil"/>
        <w:between w:val="nil"/>
      </w:pBdr>
      <w:tabs>
        <w:tab w:val="center" w:pos="4680"/>
        <w:tab w:val="right" w:pos="9360"/>
      </w:tabs>
      <w:jc w:val="both"/>
    </w:pPr>
    <w:rPr>
      <w:color w:val="000000"/>
      <w:sz w:val="22"/>
      <w:szCs w:val="22"/>
    </w:rPr>
  </w:style>
  <w:style w:type="character" w:customStyle="1" w:styleId="HeaderChar">
    <w:name w:val="Header Char"/>
    <w:basedOn w:val="DefaultParagraphFont"/>
    <w:link w:val="Header"/>
    <w:uiPriority w:val="99"/>
    <w:rsid w:val="00614B89"/>
  </w:style>
  <w:style w:type="paragraph" w:styleId="Footer">
    <w:name w:val="footer"/>
    <w:basedOn w:val="Normal"/>
    <w:link w:val="FooterChar"/>
    <w:uiPriority w:val="99"/>
    <w:unhideWhenUsed/>
    <w:rsid w:val="00614B89"/>
    <w:pPr>
      <w:pBdr>
        <w:top w:val="nil"/>
        <w:left w:val="nil"/>
        <w:bottom w:val="nil"/>
        <w:right w:val="nil"/>
        <w:between w:val="nil"/>
      </w:pBdr>
      <w:tabs>
        <w:tab w:val="center" w:pos="4680"/>
        <w:tab w:val="right" w:pos="9360"/>
      </w:tabs>
      <w:jc w:val="both"/>
    </w:pPr>
    <w:rPr>
      <w:color w:val="000000"/>
      <w:sz w:val="22"/>
      <w:szCs w:val="22"/>
    </w:rPr>
  </w:style>
  <w:style w:type="character" w:customStyle="1" w:styleId="FooterChar">
    <w:name w:val="Footer Char"/>
    <w:basedOn w:val="DefaultParagraphFont"/>
    <w:link w:val="Footer"/>
    <w:uiPriority w:val="99"/>
    <w:rsid w:val="00614B89"/>
  </w:style>
  <w:style w:type="paragraph" w:styleId="ListNumber">
    <w:name w:val="List Number"/>
    <w:basedOn w:val="Normal"/>
    <w:uiPriority w:val="99"/>
    <w:semiHidden/>
    <w:unhideWhenUsed/>
    <w:rsid w:val="00810BE0"/>
    <w:pPr>
      <w:numPr>
        <w:numId w:val="17"/>
      </w:numPr>
      <w:pBdr>
        <w:top w:val="nil"/>
        <w:left w:val="nil"/>
        <w:bottom w:val="nil"/>
        <w:right w:val="nil"/>
        <w:between w:val="nil"/>
      </w:pBdr>
      <w:contextualSpacing/>
      <w:jc w:val="both"/>
    </w:pPr>
    <w:rPr>
      <w:color w:val="000000"/>
      <w:sz w:val="22"/>
      <w:szCs w:val="22"/>
    </w:rPr>
  </w:style>
  <w:style w:type="character" w:customStyle="1" w:styleId="Heading7Char">
    <w:name w:val="Heading 7 Char"/>
    <w:basedOn w:val="DefaultParagraphFont"/>
    <w:link w:val="Heading7"/>
    <w:uiPriority w:val="9"/>
    <w:semiHidden/>
    <w:rsid w:val="00620EC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20E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0ECE"/>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769E7"/>
    <w:pPr>
      <w:pBdr>
        <w:top w:val="none" w:sz="0" w:space="0" w:color="auto"/>
        <w:left w:val="none" w:sz="0" w:space="0" w:color="auto"/>
        <w:bottom w:val="none" w:sz="0" w:space="0" w:color="auto"/>
        <w:right w:val="none" w:sz="0" w:space="0" w:color="auto"/>
        <w:between w:val="none" w:sz="0" w:space="0" w:color="auto"/>
      </w:pBdr>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szCs w:val="22"/>
        <w:lang w:val="en-US" w:eastAsia="en-US" w:bidi="ar-SA"/>
      </w:rPr>
    </w:rPrDefault>
    <w:pPrDefault>
      <w:pPr>
        <w:pBdr>
          <w:top w:val="nil"/>
          <w:left w:val="nil"/>
          <w:bottom w:val="nil"/>
          <w:right w:val="nil"/>
          <w:between w:val="nil"/>
        </w:pBd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2B"/>
    <w:pPr>
      <w:pBdr>
        <w:top w:val="none" w:sz="0" w:space="0" w:color="auto"/>
        <w:left w:val="none" w:sz="0" w:space="0" w:color="auto"/>
        <w:bottom w:val="none" w:sz="0" w:space="0" w:color="auto"/>
        <w:right w:val="none" w:sz="0" w:space="0" w:color="auto"/>
        <w:between w:val="none" w:sz="0" w:space="0" w:color="auto"/>
      </w:pBdr>
      <w:jc w:val="left"/>
    </w:pPr>
    <w:rPr>
      <w:color w:val="auto"/>
      <w:sz w:val="24"/>
      <w:szCs w:val="24"/>
    </w:rPr>
  </w:style>
  <w:style w:type="paragraph" w:styleId="Heading1">
    <w:name w:val="heading 1"/>
    <w:basedOn w:val="Normal"/>
    <w:next w:val="Normal"/>
    <w:pPr>
      <w:keepNext/>
      <w:keepLines/>
      <w:numPr>
        <w:numId w:val="4"/>
      </w:numPr>
      <w:pBdr>
        <w:top w:val="nil"/>
        <w:left w:val="nil"/>
        <w:bottom w:val="nil"/>
        <w:right w:val="nil"/>
        <w:between w:val="nil"/>
      </w:pBdr>
      <w:spacing w:before="480" w:after="120"/>
      <w:jc w:val="both"/>
      <w:outlineLvl w:val="0"/>
    </w:pPr>
    <w:rPr>
      <w:b/>
      <w:color w:val="000000"/>
      <w:sz w:val="48"/>
      <w:szCs w:val="48"/>
    </w:rPr>
  </w:style>
  <w:style w:type="paragraph" w:styleId="Heading2">
    <w:name w:val="heading 2"/>
    <w:basedOn w:val="Normal"/>
    <w:next w:val="Normal"/>
    <w:pPr>
      <w:keepNext/>
      <w:keepLines/>
      <w:numPr>
        <w:ilvl w:val="1"/>
        <w:numId w:val="4"/>
      </w:numPr>
      <w:pBdr>
        <w:top w:val="nil"/>
        <w:left w:val="nil"/>
        <w:bottom w:val="nil"/>
        <w:right w:val="nil"/>
        <w:between w:val="nil"/>
      </w:pBdr>
      <w:spacing w:before="360" w:after="80"/>
      <w:jc w:val="both"/>
      <w:outlineLvl w:val="1"/>
    </w:pPr>
    <w:rPr>
      <w:b/>
      <w:color w:val="000000"/>
      <w:sz w:val="36"/>
      <w:szCs w:val="36"/>
    </w:rPr>
  </w:style>
  <w:style w:type="paragraph" w:styleId="Heading3">
    <w:name w:val="heading 3"/>
    <w:basedOn w:val="Normal"/>
    <w:next w:val="Normal"/>
    <w:pPr>
      <w:keepNext/>
      <w:keepLines/>
      <w:numPr>
        <w:ilvl w:val="2"/>
        <w:numId w:val="4"/>
      </w:numPr>
      <w:pBdr>
        <w:top w:val="nil"/>
        <w:left w:val="nil"/>
        <w:bottom w:val="nil"/>
        <w:right w:val="nil"/>
        <w:between w:val="nil"/>
      </w:pBdr>
      <w:spacing w:before="280" w:after="80"/>
      <w:jc w:val="both"/>
      <w:outlineLvl w:val="2"/>
    </w:pPr>
    <w:rPr>
      <w:b/>
      <w:color w:val="000000"/>
      <w:sz w:val="28"/>
      <w:szCs w:val="28"/>
    </w:rPr>
  </w:style>
  <w:style w:type="paragraph" w:styleId="Heading4">
    <w:name w:val="heading 4"/>
    <w:basedOn w:val="Normal"/>
    <w:next w:val="Normal"/>
    <w:pPr>
      <w:keepNext/>
      <w:keepLines/>
      <w:numPr>
        <w:ilvl w:val="3"/>
        <w:numId w:val="4"/>
      </w:numPr>
      <w:pBdr>
        <w:top w:val="nil"/>
        <w:left w:val="nil"/>
        <w:bottom w:val="nil"/>
        <w:right w:val="nil"/>
        <w:between w:val="nil"/>
      </w:pBdr>
      <w:spacing w:before="240" w:after="40"/>
      <w:jc w:val="both"/>
      <w:outlineLvl w:val="3"/>
    </w:pPr>
    <w:rPr>
      <w:b/>
      <w:color w:val="000000"/>
    </w:rPr>
  </w:style>
  <w:style w:type="paragraph" w:styleId="Heading5">
    <w:name w:val="heading 5"/>
    <w:basedOn w:val="Normal"/>
    <w:next w:val="Normal"/>
    <w:pPr>
      <w:keepNext/>
      <w:keepLines/>
      <w:numPr>
        <w:ilvl w:val="4"/>
        <w:numId w:val="4"/>
      </w:numPr>
      <w:pBdr>
        <w:top w:val="nil"/>
        <w:left w:val="nil"/>
        <w:bottom w:val="nil"/>
        <w:right w:val="nil"/>
        <w:between w:val="nil"/>
      </w:pBdr>
      <w:spacing w:before="220" w:after="40"/>
      <w:jc w:val="both"/>
      <w:outlineLvl w:val="4"/>
    </w:pPr>
    <w:rPr>
      <w:b/>
      <w:color w:val="000000"/>
      <w:sz w:val="22"/>
      <w:szCs w:val="22"/>
    </w:rPr>
  </w:style>
  <w:style w:type="paragraph" w:styleId="Heading6">
    <w:name w:val="heading 6"/>
    <w:basedOn w:val="Normal"/>
    <w:next w:val="Normal"/>
    <w:pPr>
      <w:keepNext/>
      <w:keepLines/>
      <w:numPr>
        <w:ilvl w:val="5"/>
        <w:numId w:val="4"/>
      </w:numPr>
      <w:pBdr>
        <w:top w:val="nil"/>
        <w:left w:val="nil"/>
        <w:bottom w:val="nil"/>
        <w:right w:val="nil"/>
        <w:between w:val="nil"/>
      </w:pBdr>
      <w:spacing w:before="200" w:after="40"/>
      <w:jc w:val="both"/>
      <w:outlineLvl w:val="5"/>
    </w:pPr>
    <w:rPr>
      <w:b/>
      <w:color w:val="000000"/>
      <w:sz w:val="20"/>
      <w:szCs w:val="20"/>
    </w:rPr>
  </w:style>
  <w:style w:type="paragraph" w:styleId="Heading7">
    <w:name w:val="heading 7"/>
    <w:basedOn w:val="Normal"/>
    <w:next w:val="Normal"/>
    <w:link w:val="Heading7Char"/>
    <w:uiPriority w:val="9"/>
    <w:semiHidden/>
    <w:unhideWhenUsed/>
    <w:qFormat/>
    <w:rsid w:val="00620ECE"/>
    <w:pPr>
      <w:keepNext/>
      <w:keepLines/>
      <w:numPr>
        <w:ilvl w:val="6"/>
        <w:numId w:val="4"/>
      </w:numPr>
      <w:pBdr>
        <w:top w:val="nil"/>
        <w:left w:val="nil"/>
        <w:bottom w:val="nil"/>
        <w:right w:val="nil"/>
        <w:between w:val="nil"/>
      </w:pBdr>
      <w:spacing w:before="40"/>
      <w:jc w:val="both"/>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620ECE"/>
    <w:pPr>
      <w:keepNext/>
      <w:keepLines/>
      <w:numPr>
        <w:ilvl w:val="7"/>
        <w:numId w:val="4"/>
      </w:numPr>
      <w:pBdr>
        <w:top w:val="nil"/>
        <w:left w:val="nil"/>
        <w:bottom w:val="nil"/>
        <w:right w:val="nil"/>
        <w:between w:val="nil"/>
      </w:pBd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0ECE"/>
    <w:pPr>
      <w:keepNext/>
      <w:keepLines/>
      <w:numPr>
        <w:ilvl w:val="8"/>
        <w:numId w:val="4"/>
      </w:numPr>
      <w:pBdr>
        <w:top w:val="nil"/>
        <w:left w:val="nil"/>
        <w:bottom w:val="nil"/>
        <w:right w:val="nil"/>
        <w:between w:val="nil"/>
      </w:pBd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jc w:val="both"/>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jc w:val="both"/>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pBdr>
        <w:top w:val="nil"/>
        <w:left w:val="nil"/>
        <w:bottom w:val="nil"/>
        <w:right w:val="nil"/>
        <w:between w:val="nil"/>
      </w:pBdr>
      <w:jc w:val="both"/>
    </w:pPr>
    <w:rPr>
      <w:color w:val="000000"/>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17410"/>
    <w:pPr>
      <w:pBdr>
        <w:top w:val="nil"/>
        <w:left w:val="nil"/>
        <w:bottom w:val="nil"/>
        <w:right w:val="nil"/>
        <w:between w:val="nil"/>
      </w:pBdr>
      <w:jc w:val="both"/>
    </w:pPr>
    <w:rPr>
      <w:color w:val="000000"/>
      <w:sz w:val="18"/>
      <w:szCs w:val="18"/>
    </w:rPr>
  </w:style>
  <w:style w:type="character" w:customStyle="1" w:styleId="BalloonTextChar">
    <w:name w:val="Balloon Text Char"/>
    <w:basedOn w:val="DefaultParagraphFont"/>
    <w:link w:val="BalloonText"/>
    <w:uiPriority w:val="99"/>
    <w:semiHidden/>
    <w:rsid w:val="00B17410"/>
    <w:rPr>
      <w:sz w:val="18"/>
      <w:szCs w:val="18"/>
    </w:rPr>
  </w:style>
  <w:style w:type="paragraph" w:styleId="FootnoteText">
    <w:name w:val="footnote text"/>
    <w:basedOn w:val="Normal"/>
    <w:link w:val="FootnoteTextChar"/>
    <w:uiPriority w:val="99"/>
    <w:unhideWhenUsed/>
    <w:rsid w:val="00B17410"/>
    <w:pPr>
      <w:widowControl w:val="0"/>
    </w:pPr>
    <w:rPr>
      <w:rFonts w:ascii="Cambria" w:eastAsia="Cambria" w:hAnsi="Cambria" w:cs="Cambria"/>
      <w:color w:val="000000"/>
      <w:sz w:val="22"/>
      <w:lang w:eastAsia="de-DE"/>
    </w:rPr>
  </w:style>
  <w:style w:type="character" w:customStyle="1" w:styleId="FootnoteTextChar">
    <w:name w:val="Footnote Text Char"/>
    <w:basedOn w:val="DefaultParagraphFont"/>
    <w:link w:val="FootnoteText"/>
    <w:uiPriority w:val="99"/>
    <w:rsid w:val="00B17410"/>
    <w:rPr>
      <w:rFonts w:ascii="Cambria" w:eastAsia="Cambria" w:hAnsi="Cambria" w:cs="Cambria"/>
      <w:szCs w:val="24"/>
      <w:lang w:eastAsia="de-DE"/>
    </w:rPr>
  </w:style>
  <w:style w:type="character" w:styleId="FootnoteReference">
    <w:name w:val="footnote reference"/>
    <w:aliases w:val="Footnotes refss,Texto de nota al pie,Appel note de bas de page,Footnote number,referencia nota al pie,BVI fnr,f,Ref. de nota al pie.,4_G,16 Point,Superscript 6 Point,Footnote symbol,Footnote,Texto nota al pie,Ref. de nota al pi,Ref"/>
    <w:basedOn w:val="DefaultParagraphFont"/>
    <w:unhideWhenUsed/>
    <w:rsid w:val="00B17410"/>
    <w:rPr>
      <w:vertAlign w:val="superscript"/>
    </w:rPr>
  </w:style>
  <w:style w:type="character" w:styleId="Hyperlink">
    <w:name w:val="Hyperlink"/>
    <w:basedOn w:val="DefaultParagraphFont"/>
    <w:uiPriority w:val="99"/>
    <w:unhideWhenUsed/>
    <w:rsid w:val="00B17410"/>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F5561"/>
    <w:rPr>
      <w:b/>
      <w:bCs/>
      <w:sz w:val="20"/>
      <w:szCs w:val="20"/>
    </w:rPr>
  </w:style>
  <w:style w:type="character" w:customStyle="1" w:styleId="CommentSubjectChar">
    <w:name w:val="Comment Subject Char"/>
    <w:basedOn w:val="CommentTextChar"/>
    <w:link w:val="CommentSubject"/>
    <w:uiPriority w:val="99"/>
    <w:semiHidden/>
    <w:rsid w:val="00AF5561"/>
    <w:rPr>
      <w:b/>
      <w:bCs/>
      <w:sz w:val="20"/>
      <w:szCs w:val="20"/>
    </w:rPr>
  </w:style>
  <w:style w:type="paragraph" w:styleId="ListParagraph">
    <w:name w:val="List Paragraph"/>
    <w:basedOn w:val="Normal"/>
    <w:uiPriority w:val="34"/>
    <w:qFormat/>
    <w:rsid w:val="00AA7554"/>
    <w:pPr>
      <w:pBdr>
        <w:top w:val="nil"/>
        <w:left w:val="nil"/>
        <w:bottom w:val="nil"/>
        <w:right w:val="nil"/>
        <w:between w:val="nil"/>
      </w:pBdr>
      <w:ind w:left="720"/>
      <w:contextualSpacing/>
      <w:jc w:val="both"/>
    </w:pPr>
    <w:rPr>
      <w:color w:val="000000"/>
      <w:sz w:val="22"/>
      <w:szCs w:val="22"/>
    </w:rPr>
  </w:style>
  <w:style w:type="character" w:customStyle="1" w:styleId="FootnoteCharacters">
    <w:name w:val="Footnote Characters"/>
    <w:rsid w:val="00EF79B9"/>
    <w:rPr>
      <w:vertAlign w:val="superscript"/>
    </w:rPr>
  </w:style>
  <w:style w:type="paragraph" w:styleId="NormalWeb">
    <w:name w:val="Normal (Web)"/>
    <w:basedOn w:val="Normal"/>
    <w:uiPriority w:val="99"/>
    <w:rsid w:val="00EF79B9"/>
    <w:pPr>
      <w:suppressAutoHyphens/>
      <w:spacing w:before="28" w:after="28"/>
    </w:pPr>
    <w:rPr>
      <w:kern w:val="1"/>
      <w:lang w:eastAsia="ar-SA"/>
    </w:rPr>
  </w:style>
  <w:style w:type="character" w:styleId="FollowedHyperlink">
    <w:name w:val="FollowedHyperlink"/>
    <w:basedOn w:val="DefaultParagraphFont"/>
    <w:uiPriority w:val="99"/>
    <w:semiHidden/>
    <w:unhideWhenUsed/>
    <w:rsid w:val="00113872"/>
    <w:rPr>
      <w:color w:val="954F72" w:themeColor="followedHyperlink"/>
      <w:u w:val="single"/>
    </w:rPr>
  </w:style>
  <w:style w:type="paragraph" w:styleId="EndnoteText">
    <w:name w:val="endnote text"/>
    <w:basedOn w:val="Normal"/>
    <w:link w:val="EndnoteTextChar"/>
    <w:uiPriority w:val="99"/>
    <w:unhideWhenUsed/>
    <w:rsid w:val="005E315B"/>
    <w:pPr>
      <w:pBdr>
        <w:top w:val="nil"/>
        <w:left w:val="nil"/>
        <w:bottom w:val="nil"/>
        <w:right w:val="nil"/>
        <w:between w:val="nil"/>
      </w:pBdr>
      <w:jc w:val="both"/>
    </w:pPr>
    <w:rPr>
      <w:color w:val="000000"/>
    </w:rPr>
  </w:style>
  <w:style w:type="character" w:customStyle="1" w:styleId="EndnoteTextChar">
    <w:name w:val="Endnote Text Char"/>
    <w:basedOn w:val="DefaultParagraphFont"/>
    <w:link w:val="EndnoteText"/>
    <w:uiPriority w:val="99"/>
    <w:rsid w:val="005E315B"/>
    <w:rPr>
      <w:sz w:val="24"/>
      <w:szCs w:val="24"/>
    </w:rPr>
  </w:style>
  <w:style w:type="character" w:styleId="EndnoteReference">
    <w:name w:val="endnote reference"/>
    <w:basedOn w:val="DefaultParagraphFont"/>
    <w:uiPriority w:val="99"/>
    <w:unhideWhenUsed/>
    <w:rsid w:val="005E315B"/>
    <w:rPr>
      <w:vertAlign w:val="superscript"/>
    </w:rPr>
  </w:style>
  <w:style w:type="paragraph" w:styleId="Header">
    <w:name w:val="header"/>
    <w:basedOn w:val="Normal"/>
    <w:link w:val="HeaderChar"/>
    <w:uiPriority w:val="99"/>
    <w:unhideWhenUsed/>
    <w:rsid w:val="00614B89"/>
    <w:pPr>
      <w:pBdr>
        <w:top w:val="nil"/>
        <w:left w:val="nil"/>
        <w:bottom w:val="nil"/>
        <w:right w:val="nil"/>
        <w:between w:val="nil"/>
      </w:pBdr>
      <w:tabs>
        <w:tab w:val="center" w:pos="4680"/>
        <w:tab w:val="right" w:pos="9360"/>
      </w:tabs>
      <w:jc w:val="both"/>
    </w:pPr>
    <w:rPr>
      <w:color w:val="000000"/>
      <w:sz w:val="22"/>
      <w:szCs w:val="22"/>
    </w:rPr>
  </w:style>
  <w:style w:type="character" w:customStyle="1" w:styleId="HeaderChar">
    <w:name w:val="Header Char"/>
    <w:basedOn w:val="DefaultParagraphFont"/>
    <w:link w:val="Header"/>
    <w:uiPriority w:val="99"/>
    <w:rsid w:val="00614B89"/>
  </w:style>
  <w:style w:type="paragraph" w:styleId="Footer">
    <w:name w:val="footer"/>
    <w:basedOn w:val="Normal"/>
    <w:link w:val="FooterChar"/>
    <w:uiPriority w:val="99"/>
    <w:unhideWhenUsed/>
    <w:rsid w:val="00614B89"/>
    <w:pPr>
      <w:pBdr>
        <w:top w:val="nil"/>
        <w:left w:val="nil"/>
        <w:bottom w:val="nil"/>
        <w:right w:val="nil"/>
        <w:between w:val="nil"/>
      </w:pBdr>
      <w:tabs>
        <w:tab w:val="center" w:pos="4680"/>
        <w:tab w:val="right" w:pos="9360"/>
      </w:tabs>
      <w:jc w:val="both"/>
    </w:pPr>
    <w:rPr>
      <w:color w:val="000000"/>
      <w:sz w:val="22"/>
      <w:szCs w:val="22"/>
    </w:rPr>
  </w:style>
  <w:style w:type="character" w:customStyle="1" w:styleId="FooterChar">
    <w:name w:val="Footer Char"/>
    <w:basedOn w:val="DefaultParagraphFont"/>
    <w:link w:val="Footer"/>
    <w:uiPriority w:val="99"/>
    <w:rsid w:val="00614B89"/>
  </w:style>
  <w:style w:type="paragraph" w:styleId="ListNumber">
    <w:name w:val="List Number"/>
    <w:basedOn w:val="Normal"/>
    <w:uiPriority w:val="99"/>
    <w:semiHidden/>
    <w:unhideWhenUsed/>
    <w:rsid w:val="00810BE0"/>
    <w:pPr>
      <w:numPr>
        <w:numId w:val="17"/>
      </w:numPr>
      <w:pBdr>
        <w:top w:val="nil"/>
        <w:left w:val="nil"/>
        <w:bottom w:val="nil"/>
        <w:right w:val="nil"/>
        <w:between w:val="nil"/>
      </w:pBdr>
      <w:contextualSpacing/>
      <w:jc w:val="both"/>
    </w:pPr>
    <w:rPr>
      <w:color w:val="000000"/>
      <w:sz w:val="22"/>
      <w:szCs w:val="22"/>
    </w:rPr>
  </w:style>
  <w:style w:type="character" w:customStyle="1" w:styleId="Heading7Char">
    <w:name w:val="Heading 7 Char"/>
    <w:basedOn w:val="DefaultParagraphFont"/>
    <w:link w:val="Heading7"/>
    <w:uiPriority w:val="9"/>
    <w:semiHidden/>
    <w:rsid w:val="00620EC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20E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0ECE"/>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769E7"/>
    <w:pPr>
      <w:pBdr>
        <w:top w:val="none" w:sz="0" w:space="0" w:color="auto"/>
        <w:left w:val="none" w:sz="0" w:space="0" w:color="auto"/>
        <w:bottom w:val="none" w:sz="0" w:space="0" w:color="auto"/>
        <w:right w:val="none" w:sz="0" w:space="0" w:color="auto"/>
        <w:between w:val="none" w:sz="0" w:space="0" w:color="auto"/>
      </w:pBd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2629">
      <w:bodyDiv w:val="1"/>
      <w:marLeft w:val="0"/>
      <w:marRight w:val="0"/>
      <w:marTop w:val="0"/>
      <w:marBottom w:val="0"/>
      <w:divBdr>
        <w:top w:val="none" w:sz="0" w:space="0" w:color="auto"/>
        <w:left w:val="none" w:sz="0" w:space="0" w:color="auto"/>
        <w:bottom w:val="none" w:sz="0" w:space="0" w:color="auto"/>
        <w:right w:val="none" w:sz="0" w:space="0" w:color="auto"/>
      </w:divBdr>
    </w:div>
    <w:div w:id="202181445">
      <w:bodyDiv w:val="1"/>
      <w:marLeft w:val="0"/>
      <w:marRight w:val="0"/>
      <w:marTop w:val="0"/>
      <w:marBottom w:val="0"/>
      <w:divBdr>
        <w:top w:val="none" w:sz="0" w:space="0" w:color="auto"/>
        <w:left w:val="none" w:sz="0" w:space="0" w:color="auto"/>
        <w:bottom w:val="none" w:sz="0" w:space="0" w:color="auto"/>
        <w:right w:val="none" w:sz="0" w:space="0" w:color="auto"/>
      </w:divBdr>
    </w:div>
    <w:div w:id="214513234">
      <w:bodyDiv w:val="1"/>
      <w:marLeft w:val="0"/>
      <w:marRight w:val="0"/>
      <w:marTop w:val="0"/>
      <w:marBottom w:val="0"/>
      <w:divBdr>
        <w:top w:val="none" w:sz="0" w:space="0" w:color="auto"/>
        <w:left w:val="none" w:sz="0" w:space="0" w:color="auto"/>
        <w:bottom w:val="none" w:sz="0" w:space="0" w:color="auto"/>
        <w:right w:val="none" w:sz="0" w:space="0" w:color="auto"/>
      </w:divBdr>
    </w:div>
    <w:div w:id="581374030">
      <w:bodyDiv w:val="1"/>
      <w:marLeft w:val="0"/>
      <w:marRight w:val="0"/>
      <w:marTop w:val="0"/>
      <w:marBottom w:val="0"/>
      <w:divBdr>
        <w:top w:val="none" w:sz="0" w:space="0" w:color="auto"/>
        <w:left w:val="none" w:sz="0" w:space="0" w:color="auto"/>
        <w:bottom w:val="none" w:sz="0" w:space="0" w:color="auto"/>
        <w:right w:val="none" w:sz="0" w:space="0" w:color="auto"/>
      </w:divBdr>
    </w:div>
    <w:div w:id="615796766">
      <w:bodyDiv w:val="1"/>
      <w:marLeft w:val="0"/>
      <w:marRight w:val="0"/>
      <w:marTop w:val="0"/>
      <w:marBottom w:val="0"/>
      <w:divBdr>
        <w:top w:val="none" w:sz="0" w:space="0" w:color="auto"/>
        <w:left w:val="none" w:sz="0" w:space="0" w:color="auto"/>
        <w:bottom w:val="none" w:sz="0" w:space="0" w:color="auto"/>
        <w:right w:val="none" w:sz="0" w:space="0" w:color="auto"/>
      </w:divBdr>
    </w:div>
    <w:div w:id="742676598">
      <w:bodyDiv w:val="1"/>
      <w:marLeft w:val="0"/>
      <w:marRight w:val="0"/>
      <w:marTop w:val="0"/>
      <w:marBottom w:val="0"/>
      <w:divBdr>
        <w:top w:val="none" w:sz="0" w:space="0" w:color="auto"/>
        <w:left w:val="none" w:sz="0" w:space="0" w:color="auto"/>
        <w:bottom w:val="none" w:sz="0" w:space="0" w:color="auto"/>
        <w:right w:val="none" w:sz="0" w:space="0" w:color="auto"/>
      </w:divBdr>
    </w:div>
    <w:div w:id="835799683">
      <w:bodyDiv w:val="1"/>
      <w:marLeft w:val="0"/>
      <w:marRight w:val="0"/>
      <w:marTop w:val="0"/>
      <w:marBottom w:val="0"/>
      <w:divBdr>
        <w:top w:val="none" w:sz="0" w:space="0" w:color="auto"/>
        <w:left w:val="none" w:sz="0" w:space="0" w:color="auto"/>
        <w:bottom w:val="none" w:sz="0" w:space="0" w:color="auto"/>
        <w:right w:val="none" w:sz="0" w:space="0" w:color="auto"/>
      </w:divBdr>
    </w:div>
    <w:div w:id="943850564">
      <w:bodyDiv w:val="1"/>
      <w:marLeft w:val="0"/>
      <w:marRight w:val="0"/>
      <w:marTop w:val="0"/>
      <w:marBottom w:val="0"/>
      <w:divBdr>
        <w:top w:val="none" w:sz="0" w:space="0" w:color="auto"/>
        <w:left w:val="none" w:sz="0" w:space="0" w:color="auto"/>
        <w:bottom w:val="none" w:sz="0" w:space="0" w:color="auto"/>
        <w:right w:val="none" w:sz="0" w:space="0" w:color="auto"/>
      </w:divBdr>
    </w:div>
    <w:div w:id="968783672">
      <w:bodyDiv w:val="1"/>
      <w:marLeft w:val="0"/>
      <w:marRight w:val="0"/>
      <w:marTop w:val="0"/>
      <w:marBottom w:val="0"/>
      <w:divBdr>
        <w:top w:val="none" w:sz="0" w:space="0" w:color="auto"/>
        <w:left w:val="none" w:sz="0" w:space="0" w:color="auto"/>
        <w:bottom w:val="none" w:sz="0" w:space="0" w:color="auto"/>
        <w:right w:val="none" w:sz="0" w:space="0" w:color="auto"/>
      </w:divBdr>
    </w:div>
    <w:div w:id="1297028755">
      <w:bodyDiv w:val="1"/>
      <w:marLeft w:val="0"/>
      <w:marRight w:val="0"/>
      <w:marTop w:val="0"/>
      <w:marBottom w:val="0"/>
      <w:divBdr>
        <w:top w:val="none" w:sz="0" w:space="0" w:color="auto"/>
        <w:left w:val="none" w:sz="0" w:space="0" w:color="auto"/>
        <w:bottom w:val="none" w:sz="0" w:space="0" w:color="auto"/>
        <w:right w:val="none" w:sz="0" w:space="0" w:color="auto"/>
      </w:divBdr>
    </w:div>
    <w:div w:id="1311784211">
      <w:bodyDiv w:val="1"/>
      <w:marLeft w:val="0"/>
      <w:marRight w:val="0"/>
      <w:marTop w:val="0"/>
      <w:marBottom w:val="0"/>
      <w:divBdr>
        <w:top w:val="none" w:sz="0" w:space="0" w:color="auto"/>
        <w:left w:val="none" w:sz="0" w:space="0" w:color="auto"/>
        <w:bottom w:val="none" w:sz="0" w:space="0" w:color="auto"/>
        <w:right w:val="none" w:sz="0" w:space="0" w:color="auto"/>
      </w:divBdr>
    </w:div>
    <w:div w:id="1593277561">
      <w:bodyDiv w:val="1"/>
      <w:marLeft w:val="0"/>
      <w:marRight w:val="0"/>
      <w:marTop w:val="0"/>
      <w:marBottom w:val="0"/>
      <w:divBdr>
        <w:top w:val="none" w:sz="0" w:space="0" w:color="auto"/>
        <w:left w:val="none" w:sz="0" w:space="0" w:color="auto"/>
        <w:bottom w:val="none" w:sz="0" w:space="0" w:color="auto"/>
        <w:right w:val="none" w:sz="0" w:space="0" w:color="auto"/>
      </w:divBdr>
    </w:div>
    <w:div w:id="1599093152">
      <w:bodyDiv w:val="1"/>
      <w:marLeft w:val="0"/>
      <w:marRight w:val="0"/>
      <w:marTop w:val="0"/>
      <w:marBottom w:val="0"/>
      <w:divBdr>
        <w:top w:val="none" w:sz="0" w:space="0" w:color="auto"/>
        <w:left w:val="none" w:sz="0" w:space="0" w:color="auto"/>
        <w:bottom w:val="none" w:sz="0" w:space="0" w:color="auto"/>
        <w:right w:val="none" w:sz="0" w:space="0" w:color="auto"/>
      </w:divBdr>
    </w:div>
    <w:div w:id="1688166808">
      <w:bodyDiv w:val="1"/>
      <w:marLeft w:val="0"/>
      <w:marRight w:val="0"/>
      <w:marTop w:val="0"/>
      <w:marBottom w:val="0"/>
      <w:divBdr>
        <w:top w:val="none" w:sz="0" w:space="0" w:color="auto"/>
        <w:left w:val="none" w:sz="0" w:space="0" w:color="auto"/>
        <w:bottom w:val="none" w:sz="0" w:space="0" w:color="auto"/>
        <w:right w:val="none" w:sz="0" w:space="0" w:color="auto"/>
      </w:divBdr>
    </w:div>
    <w:div w:id="1711035254">
      <w:bodyDiv w:val="1"/>
      <w:marLeft w:val="0"/>
      <w:marRight w:val="0"/>
      <w:marTop w:val="0"/>
      <w:marBottom w:val="0"/>
      <w:divBdr>
        <w:top w:val="none" w:sz="0" w:space="0" w:color="auto"/>
        <w:left w:val="none" w:sz="0" w:space="0" w:color="auto"/>
        <w:bottom w:val="none" w:sz="0" w:space="0" w:color="auto"/>
        <w:right w:val="none" w:sz="0" w:space="0" w:color="auto"/>
      </w:divBdr>
    </w:div>
    <w:div w:id="1772819116">
      <w:bodyDiv w:val="1"/>
      <w:marLeft w:val="0"/>
      <w:marRight w:val="0"/>
      <w:marTop w:val="0"/>
      <w:marBottom w:val="0"/>
      <w:divBdr>
        <w:top w:val="none" w:sz="0" w:space="0" w:color="auto"/>
        <w:left w:val="none" w:sz="0" w:space="0" w:color="auto"/>
        <w:bottom w:val="none" w:sz="0" w:space="0" w:color="auto"/>
        <w:right w:val="none" w:sz="0" w:space="0" w:color="auto"/>
      </w:divBdr>
    </w:div>
    <w:div w:id="1813251885">
      <w:bodyDiv w:val="1"/>
      <w:marLeft w:val="0"/>
      <w:marRight w:val="0"/>
      <w:marTop w:val="0"/>
      <w:marBottom w:val="0"/>
      <w:divBdr>
        <w:top w:val="none" w:sz="0" w:space="0" w:color="auto"/>
        <w:left w:val="none" w:sz="0" w:space="0" w:color="auto"/>
        <w:bottom w:val="none" w:sz="0" w:space="0" w:color="auto"/>
        <w:right w:val="none" w:sz="0" w:space="0" w:color="auto"/>
      </w:divBdr>
    </w:div>
    <w:div w:id="1845364739">
      <w:bodyDiv w:val="1"/>
      <w:marLeft w:val="0"/>
      <w:marRight w:val="0"/>
      <w:marTop w:val="0"/>
      <w:marBottom w:val="0"/>
      <w:divBdr>
        <w:top w:val="none" w:sz="0" w:space="0" w:color="auto"/>
        <w:left w:val="none" w:sz="0" w:space="0" w:color="auto"/>
        <w:bottom w:val="none" w:sz="0" w:space="0" w:color="auto"/>
        <w:right w:val="none" w:sz="0" w:space="0" w:color="auto"/>
      </w:divBdr>
    </w:div>
    <w:div w:id="1889297436">
      <w:bodyDiv w:val="1"/>
      <w:marLeft w:val="0"/>
      <w:marRight w:val="0"/>
      <w:marTop w:val="0"/>
      <w:marBottom w:val="0"/>
      <w:divBdr>
        <w:top w:val="none" w:sz="0" w:space="0" w:color="auto"/>
        <w:left w:val="none" w:sz="0" w:space="0" w:color="auto"/>
        <w:bottom w:val="none" w:sz="0" w:space="0" w:color="auto"/>
        <w:right w:val="none" w:sz="0" w:space="0" w:color="auto"/>
      </w:divBdr>
    </w:div>
    <w:div w:id="2053459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sident@WomenEnabled.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atalia.acevedo@profamilia.org.co" TargetMode="External"/><Relationship Id="rId4" Type="http://schemas.microsoft.com/office/2007/relationships/stylesWithEffects" Target="stylesWithEffects.xml"/><Relationship Id="rId9" Type="http://schemas.openxmlformats.org/officeDocument/2006/relationships/hyperlink" Target="mailto:colectivapolimorfas@gmail.com"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ilo.org/wcmsp5/groups/public/---asia/---ro-bangkok/documents/publication/wcms_bk_pb_93_en.pdf" TargetMode="External"/><Relationship Id="rId3" Type="http://schemas.openxmlformats.org/officeDocument/2006/relationships/hyperlink" Target="https://paiis.uniandes.edu.co/images/publicaciones/OSI_FINAL_Informe_XI_10_14_ajustado__V4.pdf" TargetMode="External"/><Relationship Id="rId7" Type="http://schemas.openxmlformats.org/officeDocument/2006/relationships/hyperlink" Target="http://documents.worldbank.org/curated/en/983641468238477531/pdf/831670WP0SPANI0Box0382076B00PUBLIC0.pdf" TargetMode="External"/><Relationship Id="rId2" Type="http://schemas.openxmlformats.org/officeDocument/2006/relationships/hyperlink" Target="http://www.equidadmujer.gov.co/oag/Documents/oag-boletin-14-mujer-y-discapacidad-en-colombia.pdf" TargetMode="External"/><Relationship Id="rId1" Type="http://schemas.openxmlformats.org/officeDocument/2006/relationships/hyperlink" Target="http://www.dane.gov.co/reloj/" TargetMode="External"/><Relationship Id="rId6" Type="http://schemas.openxmlformats.org/officeDocument/2006/relationships/hyperlink" Target="http://www.mineducacion.gov.co/1621/article-141881.html" TargetMode="External"/><Relationship Id="rId5" Type="http://schemas.openxmlformats.org/officeDocument/2006/relationships/hyperlink" Target="http://www.unhcr.org/refworld/docid/45f973632.html" TargetMode="External"/><Relationship Id="rId4" Type="http://schemas.openxmlformats.org/officeDocument/2006/relationships/hyperlink" Target="http://hesperian.org/books-and-resources/" TargetMode="External"/><Relationship Id="rId9" Type="http://schemas.openxmlformats.org/officeDocument/2006/relationships/hyperlink" Target="https://www.minsalud.gov.co/sites/rid/Lists/BibliotecaDigital/RIDE/INEC/INV/7%20-%20VIOLENCIA%20CONTRA%20LAS%20MUJERES%20EN%20COLOMBIA.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C607954-662F-4566-8A20-F3549EC3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6177</Words>
  <Characters>35212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dc:creator>
  <cp:lastModifiedBy>Stephanie Ortoleva</cp:lastModifiedBy>
  <cp:revision>2</cp:revision>
  <dcterms:created xsi:type="dcterms:W3CDTF">2017-08-27T16:51:00Z</dcterms:created>
  <dcterms:modified xsi:type="dcterms:W3CDTF">2017-08-27T16:51:00Z</dcterms:modified>
</cp:coreProperties>
</file>